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10282" w14:textId="402BFFA5" w:rsidR="00E6415E" w:rsidRPr="00270414" w:rsidRDefault="00270414" w:rsidP="00270414">
      <w:pPr>
        <w:pBdr>
          <w:top w:val="single" w:sz="2" w:space="0" w:color="FFFFFF"/>
          <w:left w:val="single" w:sz="2" w:space="0" w:color="FFFFFF"/>
          <w:bottom w:val="single" w:sz="2" w:space="2" w:color="FFFFFF"/>
          <w:right w:val="single" w:sz="2" w:space="4" w:color="FFFFFF"/>
        </w:pBdr>
        <w:tabs>
          <w:tab w:val="left" w:pos="567"/>
        </w:tabs>
        <w:ind w:right="141"/>
        <w:jc w:val="right"/>
        <w:rPr>
          <w:rFonts w:cs="Arial"/>
          <w:b/>
          <w:bCs/>
          <w:caps/>
          <w:sz w:val="28"/>
          <w:szCs w:val="28"/>
        </w:rPr>
      </w:pPr>
      <w:r w:rsidRPr="00270414">
        <w:rPr>
          <w:rFonts w:cs="Arial"/>
          <w:b/>
          <w:bCs/>
          <w:caps/>
          <w:sz w:val="28"/>
          <w:szCs w:val="28"/>
        </w:rPr>
        <w:t>APPENDIX J</w:t>
      </w:r>
    </w:p>
    <w:p w14:paraId="2139BA81" w14:textId="77777777" w:rsidR="00270414" w:rsidRDefault="00270414" w:rsidP="00E6415E">
      <w:pPr>
        <w:pBdr>
          <w:top w:val="single" w:sz="2" w:space="0" w:color="FFFFFF"/>
          <w:left w:val="single" w:sz="2" w:space="0" w:color="FFFFFF"/>
          <w:bottom w:val="single" w:sz="2" w:space="2" w:color="FFFFFF"/>
          <w:right w:val="single" w:sz="2" w:space="4" w:color="FFFFFF"/>
        </w:pBdr>
        <w:tabs>
          <w:tab w:val="left" w:pos="567"/>
        </w:tabs>
        <w:ind w:right="141"/>
        <w:jc w:val="left"/>
        <w:rPr>
          <w:rFonts w:cs="Arial"/>
          <w:b/>
          <w:caps/>
          <w:sz w:val="28"/>
          <w:szCs w:val="22"/>
        </w:rPr>
      </w:pPr>
    </w:p>
    <w:p w14:paraId="34AA17E8" w14:textId="1D354F8E" w:rsidR="00E6415E" w:rsidRDefault="00E6415E" w:rsidP="00E6415E">
      <w:pPr>
        <w:pBdr>
          <w:top w:val="single" w:sz="2" w:space="0" w:color="FFFFFF"/>
          <w:left w:val="single" w:sz="2" w:space="0" w:color="FFFFFF"/>
          <w:bottom w:val="single" w:sz="2" w:space="2" w:color="FFFFFF"/>
          <w:right w:val="single" w:sz="2" w:space="4" w:color="FFFFFF"/>
        </w:pBdr>
        <w:tabs>
          <w:tab w:val="left" w:pos="567"/>
        </w:tabs>
        <w:ind w:right="141"/>
        <w:jc w:val="left"/>
        <w:rPr>
          <w:rFonts w:cs="Arial"/>
          <w:b/>
          <w:caps/>
          <w:sz w:val="28"/>
          <w:szCs w:val="22"/>
        </w:rPr>
      </w:pPr>
      <w:r w:rsidRPr="00FC4247">
        <w:rPr>
          <w:rFonts w:cs="Arial"/>
          <w:b/>
          <w:caps/>
          <w:sz w:val="28"/>
          <w:szCs w:val="22"/>
        </w:rPr>
        <w:t xml:space="preserve">Budget consultation </w:t>
      </w:r>
      <w:r>
        <w:rPr>
          <w:rFonts w:cs="Arial"/>
          <w:b/>
          <w:caps/>
          <w:sz w:val="28"/>
          <w:szCs w:val="22"/>
        </w:rPr>
        <w:t>202</w:t>
      </w:r>
      <w:r w:rsidR="006F78BF">
        <w:rPr>
          <w:rFonts w:cs="Arial"/>
          <w:b/>
          <w:caps/>
          <w:sz w:val="28"/>
          <w:szCs w:val="22"/>
        </w:rPr>
        <w:t>2/23</w:t>
      </w:r>
    </w:p>
    <w:p w14:paraId="7C640195" w14:textId="77777777" w:rsidR="00E6415E" w:rsidRDefault="00E6415E" w:rsidP="00E6415E">
      <w:pPr>
        <w:pBdr>
          <w:top w:val="single" w:sz="2" w:space="0" w:color="FFFFFF"/>
          <w:left w:val="single" w:sz="2" w:space="0" w:color="FFFFFF"/>
          <w:bottom w:val="single" w:sz="2" w:space="2" w:color="FFFFFF"/>
          <w:right w:val="single" w:sz="2" w:space="4" w:color="FFFFFF"/>
        </w:pBdr>
        <w:tabs>
          <w:tab w:val="left" w:pos="567"/>
        </w:tabs>
        <w:ind w:right="141"/>
        <w:jc w:val="left"/>
        <w:rPr>
          <w:rFonts w:cs="Arial"/>
          <w:b/>
          <w:caps/>
          <w:sz w:val="28"/>
          <w:szCs w:val="22"/>
        </w:rPr>
      </w:pPr>
    </w:p>
    <w:p w14:paraId="239DBD52" w14:textId="77777777" w:rsidR="00E6415E" w:rsidRPr="006E0586" w:rsidRDefault="00E6415E" w:rsidP="00E6415E">
      <w:pPr>
        <w:pStyle w:val="Heading7"/>
        <w:tabs>
          <w:tab w:val="left" w:pos="567"/>
        </w:tabs>
        <w:spacing w:after="120"/>
        <w:ind w:left="0" w:right="0" w:firstLine="0"/>
        <w:rPr>
          <w:rFonts w:cs="Arial"/>
          <w:sz w:val="24"/>
          <w:szCs w:val="24"/>
        </w:rPr>
      </w:pPr>
      <w:r w:rsidRPr="006E0586">
        <w:rPr>
          <w:rFonts w:cs="Arial"/>
          <w:sz w:val="24"/>
          <w:szCs w:val="24"/>
        </w:rPr>
        <w:t>PURPOSE OF THE REPORT</w:t>
      </w:r>
    </w:p>
    <w:p w14:paraId="7574C6EE" w14:textId="77777777" w:rsidR="00E6415E" w:rsidRPr="006E0586" w:rsidRDefault="00E6415E" w:rsidP="00E6415E">
      <w:pPr>
        <w:numPr>
          <w:ilvl w:val="0"/>
          <w:numId w:val="1"/>
        </w:numPr>
        <w:pBdr>
          <w:top w:val="single" w:sz="2" w:space="0" w:color="FFFFFF"/>
          <w:left w:val="single" w:sz="2" w:space="0" w:color="FFFFFF"/>
          <w:bottom w:val="single" w:sz="2" w:space="2" w:color="FFFFFF"/>
          <w:right w:val="single" w:sz="2" w:space="4" w:color="FFFFFF"/>
        </w:pBdr>
        <w:tabs>
          <w:tab w:val="left" w:pos="567"/>
        </w:tabs>
        <w:ind w:right="141"/>
        <w:jc w:val="left"/>
        <w:rPr>
          <w:rFonts w:cs="Arial"/>
          <w:b/>
          <w:caps/>
          <w:szCs w:val="24"/>
        </w:rPr>
      </w:pPr>
      <w:r w:rsidRPr="006E0586">
        <w:rPr>
          <w:rFonts w:cs="Arial"/>
          <w:szCs w:val="24"/>
        </w:rPr>
        <w:t>This report provides the Council with the results from the public consultation carried out on the Executive’s draft budget proposals for 202</w:t>
      </w:r>
      <w:r>
        <w:rPr>
          <w:rFonts w:cs="Arial"/>
          <w:szCs w:val="24"/>
        </w:rPr>
        <w:t>2/23</w:t>
      </w:r>
      <w:r w:rsidRPr="006E0586">
        <w:rPr>
          <w:rFonts w:cs="Arial"/>
          <w:szCs w:val="24"/>
        </w:rPr>
        <w:t xml:space="preserve">. </w:t>
      </w:r>
    </w:p>
    <w:p w14:paraId="1C0097FE" w14:textId="77777777" w:rsidR="00E6415E" w:rsidRPr="006E0586" w:rsidRDefault="00E6415E" w:rsidP="00E6415E">
      <w:pPr>
        <w:pBdr>
          <w:top w:val="single" w:sz="2" w:space="0" w:color="FFFFFF"/>
          <w:left w:val="single" w:sz="2" w:space="0" w:color="FFFFFF"/>
          <w:bottom w:val="single" w:sz="2" w:space="2" w:color="FFFFFF"/>
          <w:right w:val="single" w:sz="2" w:space="4" w:color="FFFFFF"/>
        </w:pBdr>
        <w:tabs>
          <w:tab w:val="left" w:pos="567"/>
        </w:tabs>
        <w:ind w:right="141"/>
        <w:jc w:val="left"/>
        <w:rPr>
          <w:rFonts w:cs="Arial"/>
          <w:szCs w:val="24"/>
        </w:rPr>
      </w:pPr>
    </w:p>
    <w:p w14:paraId="5DD3A4BE" w14:textId="77777777" w:rsidR="00E6415E" w:rsidRPr="006E0586" w:rsidRDefault="00E6415E" w:rsidP="00E6415E">
      <w:pPr>
        <w:pStyle w:val="Heading7"/>
        <w:tabs>
          <w:tab w:val="left" w:pos="567"/>
        </w:tabs>
        <w:spacing w:after="120"/>
        <w:ind w:left="0" w:right="0" w:firstLine="0"/>
        <w:rPr>
          <w:rFonts w:cs="Arial"/>
          <w:sz w:val="24"/>
          <w:szCs w:val="24"/>
        </w:rPr>
      </w:pPr>
      <w:r w:rsidRPr="006E0586">
        <w:rPr>
          <w:rFonts w:cs="Arial"/>
          <w:sz w:val="24"/>
          <w:szCs w:val="24"/>
        </w:rPr>
        <w:t>RECOMMENDATION(S)</w:t>
      </w:r>
    </w:p>
    <w:p w14:paraId="1B63F314" w14:textId="791D7B9C" w:rsidR="00E6415E" w:rsidRPr="006E0586" w:rsidRDefault="00E6415E" w:rsidP="00E6415E">
      <w:pPr>
        <w:numPr>
          <w:ilvl w:val="0"/>
          <w:numId w:val="1"/>
        </w:numPr>
        <w:pBdr>
          <w:top w:val="single" w:sz="2" w:space="0" w:color="FFFFFF"/>
          <w:left w:val="single" w:sz="2" w:space="0" w:color="FFFFFF"/>
          <w:bottom w:val="single" w:sz="2" w:space="2" w:color="FFFFFF"/>
          <w:right w:val="single" w:sz="2" w:space="4" w:color="FFFFFF"/>
        </w:pBdr>
        <w:tabs>
          <w:tab w:val="left" w:pos="567"/>
        </w:tabs>
        <w:ind w:right="141"/>
        <w:jc w:val="left"/>
        <w:rPr>
          <w:rFonts w:cs="Arial"/>
          <w:b/>
          <w:caps/>
          <w:szCs w:val="24"/>
        </w:rPr>
      </w:pPr>
      <w:r w:rsidRPr="006E0586">
        <w:rPr>
          <w:rFonts w:cs="Arial"/>
          <w:szCs w:val="24"/>
        </w:rPr>
        <w:t>It is recommended that Members use the results from the consultation, which represent the views of residents, to inform their decisions when setting the budget for 202</w:t>
      </w:r>
      <w:r w:rsidR="00480EE1">
        <w:rPr>
          <w:rFonts w:cs="Arial"/>
          <w:szCs w:val="24"/>
        </w:rPr>
        <w:t>2</w:t>
      </w:r>
      <w:r w:rsidRPr="006E0586">
        <w:rPr>
          <w:rFonts w:cs="Arial"/>
          <w:szCs w:val="24"/>
        </w:rPr>
        <w:t>/2</w:t>
      </w:r>
      <w:r w:rsidR="00480EE1">
        <w:rPr>
          <w:rFonts w:cs="Arial"/>
          <w:szCs w:val="24"/>
        </w:rPr>
        <w:t>3</w:t>
      </w:r>
      <w:r w:rsidRPr="006E0586">
        <w:rPr>
          <w:rFonts w:cs="Arial"/>
          <w:szCs w:val="24"/>
        </w:rPr>
        <w:t xml:space="preserve">. </w:t>
      </w:r>
    </w:p>
    <w:p w14:paraId="647108E0" w14:textId="77777777" w:rsidR="00E6415E" w:rsidRPr="006E0586" w:rsidRDefault="00E6415E" w:rsidP="00E6415E">
      <w:pPr>
        <w:pBdr>
          <w:top w:val="single" w:sz="2" w:space="0" w:color="FFFFFF"/>
          <w:left w:val="single" w:sz="2" w:space="0" w:color="FFFFFF"/>
          <w:bottom w:val="single" w:sz="2" w:space="2" w:color="FFFFFF"/>
          <w:right w:val="single" w:sz="2" w:space="4" w:color="FFFFFF"/>
        </w:pBdr>
        <w:tabs>
          <w:tab w:val="left" w:pos="567"/>
        </w:tabs>
        <w:ind w:right="141"/>
        <w:rPr>
          <w:rFonts w:cs="Arial"/>
          <w:b/>
          <w:caps/>
          <w:szCs w:val="24"/>
        </w:rPr>
      </w:pPr>
    </w:p>
    <w:p w14:paraId="5F6E6592" w14:textId="77777777" w:rsidR="00E6415E" w:rsidRPr="006E0586" w:rsidRDefault="00E6415E" w:rsidP="00E6415E">
      <w:pPr>
        <w:pStyle w:val="Heading7"/>
        <w:tabs>
          <w:tab w:val="left" w:pos="567"/>
        </w:tabs>
        <w:spacing w:after="120"/>
        <w:ind w:left="0" w:right="0" w:firstLine="0"/>
        <w:rPr>
          <w:rFonts w:cs="Arial"/>
          <w:sz w:val="24"/>
          <w:szCs w:val="24"/>
        </w:rPr>
      </w:pPr>
      <w:r w:rsidRPr="006E0586">
        <w:rPr>
          <w:rFonts w:cs="Arial"/>
          <w:sz w:val="24"/>
          <w:szCs w:val="24"/>
        </w:rPr>
        <w:t>EXECUTIVE SUMMARY OF REPORT</w:t>
      </w:r>
    </w:p>
    <w:p w14:paraId="694FD545" w14:textId="792FBFC4" w:rsidR="00E6415E" w:rsidRDefault="00E6415E" w:rsidP="00EF25B9">
      <w:pPr>
        <w:numPr>
          <w:ilvl w:val="0"/>
          <w:numId w:val="1"/>
        </w:numPr>
        <w:pBdr>
          <w:top w:val="single" w:sz="2" w:space="1" w:color="FFFFFF"/>
          <w:left w:val="single" w:sz="2" w:space="0" w:color="FFFFFF"/>
          <w:bottom w:val="single" w:sz="2" w:space="2" w:color="FFFFFF"/>
          <w:right w:val="single" w:sz="2" w:space="4" w:color="FFFFFF"/>
        </w:pBdr>
        <w:jc w:val="left"/>
        <w:rPr>
          <w:rFonts w:cs="Arial"/>
          <w:szCs w:val="22"/>
        </w:rPr>
      </w:pPr>
      <w:r w:rsidRPr="006E0586">
        <w:rPr>
          <w:rFonts w:cs="Arial"/>
          <w:szCs w:val="24"/>
        </w:rPr>
        <w:t xml:space="preserve">The consultation on the proposed budget principles for </w:t>
      </w:r>
      <w:r w:rsidR="00B06087" w:rsidRPr="006E0586">
        <w:rPr>
          <w:rFonts w:cs="Arial"/>
          <w:szCs w:val="24"/>
        </w:rPr>
        <w:t>202</w:t>
      </w:r>
      <w:r w:rsidR="00B06087">
        <w:rPr>
          <w:rFonts w:cs="Arial"/>
          <w:szCs w:val="24"/>
        </w:rPr>
        <w:t xml:space="preserve">2/23 </w:t>
      </w:r>
      <w:r w:rsidRPr="006E0586">
        <w:rPr>
          <w:rFonts w:cs="Arial"/>
          <w:szCs w:val="24"/>
        </w:rPr>
        <w:t xml:space="preserve">received a total of </w:t>
      </w:r>
      <w:r w:rsidR="009117EC">
        <w:rPr>
          <w:rFonts w:cs="Arial"/>
          <w:szCs w:val="24"/>
        </w:rPr>
        <w:t>2</w:t>
      </w:r>
      <w:r w:rsidR="00EF25B9">
        <w:rPr>
          <w:rFonts w:cs="Arial"/>
          <w:szCs w:val="24"/>
        </w:rPr>
        <w:t>20</w:t>
      </w:r>
      <w:r w:rsidRPr="006E0586">
        <w:rPr>
          <w:rFonts w:cs="Arial"/>
          <w:szCs w:val="24"/>
        </w:rPr>
        <w:t xml:space="preserve"> responses to the online survey</w:t>
      </w:r>
      <w:r w:rsidR="009117EC">
        <w:rPr>
          <w:rFonts w:cs="Arial"/>
          <w:szCs w:val="24"/>
        </w:rPr>
        <w:t>, with 1</w:t>
      </w:r>
      <w:r w:rsidR="00EF25B9">
        <w:rPr>
          <w:rFonts w:cs="Arial"/>
          <w:szCs w:val="24"/>
        </w:rPr>
        <w:t>09</w:t>
      </w:r>
      <w:r w:rsidR="009117EC">
        <w:rPr>
          <w:rFonts w:cs="Arial"/>
          <w:szCs w:val="24"/>
        </w:rPr>
        <w:t xml:space="preserve"> open comments and </w:t>
      </w:r>
      <w:r w:rsidR="00531127">
        <w:rPr>
          <w:rFonts w:cs="Arial"/>
          <w:szCs w:val="24"/>
        </w:rPr>
        <w:t xml:space="preserve">39 </w:t>
      </w:r>
      <w:r w:rsidR="009117EC">
        <w:rPr>
          <w:rFonts w:cs="Arial"/>
          <w:szCs w:val="24"/>
        </w:rPr>
        <w:t>comments through social media</w:t>
      </w:r>
      <w:r w:rsidRPr="006E0586">
        <w:rPr>
          <w:rFonts w:cs="Arial"/>
          <w:szCs w:val="24"/>
        </w:rPr>
        <w:t>.</w:t>
      </w:r>
      <w:r w:rsidR="009117EC">
        <w:rPr>
          <w:rFonts w:cs="Arial"/>
          <w:szCs w:val="24"/>
        </w:rPr>
        <w:t xml:space="preserve"> </w:t>
      </w:r>
      <w:r w:rsidRPr="006E0586">
        <w:rPr>
          <w:rFonts w:cs="Arial"/>
          <w:szCs w:val="24"/>
        </w:rPr>
        <w:t>This</w:t>
      </w:r>
      <w:r w:rsidRPr="00793046">
        <w:rPr>
          <w:rFonts w:cs="Arial"/>
          <w:szCs w:val="22"/>
        </w:rPr>
        <w:t xml:space="preserve"> is </w:t>
      </w:r>
      <w:r>
        <w:rPr>
          <w:rFonts w:cs="Arial"/>
          <w:szCs w:val="22"/>
        </w:rPr>
        <w:t>in comparison to 105</w:t>
      </w:r>
      <w:r w:rsidRPr="00793046">
        <w:rPr>
          <w:rFonts w:cs="Arial"/>
          <w:szCs w:val="22"/>
        </w:rPr>
        <w:t xml:space="preserve"> </w:t>
      </w:r>
      <w:r>
        <w:rPr>
          <w:rFonts w:cs="Arial"/>
          <w:szCs w:val="22"/>
        </w:rPr>
        <w:t xml:space="preserve">responses </w:t>
      </w:r>
      <w:r w:rsidRPr="00793046">
        <w:rPr>
          <w:rFonts w:cs="Arial"/>
          <w:szCs w:val="22"/>
        </w:rPr>
        <w:t xml:space="preserve">received </w:t>
      </w:r>
      <w:r>
        <w:rPr>
          <w:rFonts w:cs="Arial"/>
          <w:szCs w:val="22"/>
        </w:rPr>
        <w:t>to</w:t>
      </w:r>
      <w:r w:rsidRPr="00793046">
        <w:rPr>
          <w:rFonts w:cs="Arial"/>
          <w:szCs w:val="22"/>
        </w:rPr>
        <w:t xml:space="preserve"> the 202</w:t>
      </w:r>
      <w:r w:rsidR="00B06087">
        <w:rPr>
          <w:rFonts w:cs="Arial"/>
          <w:szCs w:val="22"/>
        </w:rPr>
        <w:t>1</w:t>
      </w:r>
      <w:r w:rsidRPr="00793046">
        <w:rPr>
          <w:rFonts w:cs="Arial"/>
          <w:szCs w:val="22"/>
        </w:rPr>
        <w:t>/</w:t>
      </w:r>
      <w:r>
        <w:rPr>
          <w:rFonts w:cs="Arial"/>
          <w:szCs w:val="22"/>
        </w:rPr>
        <w:t>2</w:t>
      </w:r>
      <w:r w:rsidR="00B06087">
        <w:rPr>
          <w:rFonts w:cs="Arial"/>
          <w:szCs w:val="22"/>
        </w:rPr>
        <w:t>2</w:t>
      </w:r>
      <w:r w:rsidRPr="00793046">
        <w:rPr>
          <w:rFonts w:cs="Arial"/>
          <w:szCs w:val="22"/>
        </w:rPr>
        <w:t xml:space="preserve"> budget consultation.</w:t>
      </w:r>
    </w:p>
    <w:p w14:paraId="26BD7DF6" w14:textId="77777777" w:rsidR="00B06087" w:rsidRPr="00EF25B9" w:rsidRDefault="00B06087" w:rsidP="00B06087">
      <w:pPr>
        <w:pBdr>
          <w:top w:val="single" w:sz="2" w:space="1" w:color="FFFFFF"/>
          <w:left w:val="single" w:sz="2" w:space="0" w:color="FFFFFF"/>
          <w:bottom w:val="single" w:sz="2" w:space="2" w:color="FFFFFF"/>
          <w:right w:val="single" w:sz="2" w:space="4" w:color="FFFFFF"/>
        </w:pBdr>
        <w:ind w:left="567"/>
        <w:jc w:val="left"/>
        <w:rPr>
          <w:rFonts w:cs="Arial"/>
          <w:szCs w:val="22"/>
        </w:rPr>
      </w:pPr>
    </w:p>
    <w:p w14:paraId="36B5955A" w14:textId="77777777" w:rsidR="00E6415E" w:rsidRPr="005538A6" w:rsidRDefault="00E6415E" w:rsidP="00E6415E">
      <w:pPr>
        <w:numPr>
          <w:ilvl w:val="0"/>
          <w:numId w:val="1"/>
        </w:numPr>
        <w:pBdr>
          <w:top w:val="single" w:sz="2" w:space="1" w:color="FFFFFF"/>
          <w:left w:val="single" w:sz="2" w:space="0" w:color="FFFFFF"/>
          <w:bottom w:val="single" w:sz="2" w:space="0" w:color="FFFFFF"/>
          <w:right w:val="single" w:sz="2" w:space="4" w:color="FFFFFF"/>
        </w:pBdr>
        <w:rPr>
          <w:rFonts w:cs="Arial"/>
          <w:szCs w:val="22"/>
        </w:rPr>
      </w:pPr>
      <w:r w:rsidRPr="00EE2E01">
        <w:rPr>
          <w:rFonts w:cs="Arial"/>
          <w:szCs w:val="22"/>
        </w:rPr>
        <w:t xml:space="preserve">Participants were asked to indicate their preferred priorities for investment and to also make suggestions on what they think the council should be doing. </w:t>
      </w:r>
      <w:r>
        <w:rPr>
          <w:rFonts w:cs="Arial"/>
          <w:szCs w:val="22"/>
        </w:rPr>
        <w:t xml:space="preserve"> Analysis showed a broad level of support for the areas of investment with some options prioritised more highly than others.</w:t>
      </w:r>
      <w:r w:rsidRPr="00EE2E01">
        <w:rPr>
          <w:rFonts w:cs="Arial"/>
          <w:szCs w:val="22"/>
        </w:rPr>
        <w:t xml:space="preserve"> </w:t>
      </w:r>
      <w:r w:rsidRPr="00EF25B9">
        <w:rPr>
          <w:rFonts w:cs="Arial"/>
          <w:szCs w:val="22"/>
        </w:rPr>
        <w:t>The open comments were positive in relation to the council tax proposals and generally supportive of wider principles including ensuring a strong recovery from the pandemic and protecting the most vulnerable.</w:t>
      </w:r>
    </w:p>
    <w:p w14:paraId="6F2F7D00" w14:textId="77777777" w:rsidR="00E6415E" w:rsidRPr="00EE2E01" w:rsidRDefault="00E6415E" w:rsidP="00EF25B9">
      <w:pPr>
        <w:pBdr>
          <w:top w:val="single" w:sz="2" w:space="0" w:color="FFFFFF"/>
          <w:left w:val="single" w:sz="2" w:space="0" w:color="FFFFFF"/>
          <w:bottom w:val="single" w:sz="2" w:space="2" w:color="FFFFFF"/>
          <w:right w:val="single" w:sz="2" w:space="4" w:color="FFFFFF"/>
        </w:pBdr>
        <w:jc w:val="left"/>
        <w:rPr>
          <w:rFonts w:cs="Arial"/>
          <w:color w:val="00B050"/>
          <w:szCs w:val="22"/>
        </w:rPr>
      </w:pPr>
    </w:p>
    <w:tbl>
      <w:tblPr>
        <w:tblpPr w:leftFromText="180" w:rightFromText="180" w:vertAnchor="text" w:horzAnchor="margin" w:tblpY="6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E6415E" w:rsidRPr="00CE056F" w14:paraId="58AF5F06" w14:textId="77777777" w:rsidTr="00C11BE3">
        <w:tc>
          <w:tcPr>
            <w:tcW w:w="3211" w:type="dxa"/>
            <w:tcBorders>
              <w:top w:val="single" w:sz="4" w:space="0" w:color="auto"/>
              <w:left w:val="single" w:sz="4" w:space="0" w:color="auto"/>
              <w:bottom w:val="single" w:sz="4" w:space="0" w:color="auto"/>
              <w:right w:val="single" w:sz="4" w:space="0" w:color="auto"/>
            </w:tcBorders>
            <w:hideMark/>
          </w:tcPr>
          <w:p w14:paraId="0BDB6B01" w14:textId="77777777" w:rsidR="00E6415E" w:rsidRPr="00CE056F" w:rsidRDefault="00E6415E" w:rsidP="00C11BE3">
            <w:pPr>
              <w:tabs>
                <w:tab w:val="left" w:pos="567"/>
              </w:tabs>
              <w:rPr>
                <w:rFonts w:cs="Arial"/>
                <w:b/>
                <w:sz w:val="22"/>
                <w:szCs w:val="22"/>
              </w:rPr>
            </w:pPr>
            <w:r w:rsidRPr="00CE056F">
              <w:rPr>
                <w:rFonts w:cs="Arial"/>
                <w:b/>
                <w:sz w:val="22"/>
                <w:szCs w:val="22"/>
              </w:rPr>
              <w:t>Confidential report</w:t>
            </w:r>
          </w:p>
          <w:p w14:paraId="7BA4BE88" w14:textId="77777777" w:rsidR="00E6415E" w:rsidRPr="00CE056F" w:rsidRDefault="00E6415E" w:rsidP="00C11BE3">
            <w:pPr>
              <w:tabs>
                <w:tab w:val="left" w:pos="567"/>
              </w:tabs>
              <w:rPr>
                <w:rFonts w:cs="Arial"/>
                <w:b/>
                <w:sz w:val="22"/>
                <w:szCs w:val="22"/>
              </w:rPr>
            </w:pPr>
            <w:r w:rsidRPr="00CE056F">
              <w:rPr>
                <w:rFonts w:cs="Arial"/>
                <w:sz w:val="22"/>
                <w:szCs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7A2E57F2" w14:textId="77777777" w:rsidR="00E6415E" w:rsidRPr="00CE056F" w:rsidRDefault="00E6415E" w:rsidP="00C11BE3">
            <w:pPr>
              <w:tabs>
                <w:tab w:val="left" w:pos="567"/>
              </w:tabs>
              <w:rPr>
                <w:rFonts w:cs="Arial"/>
                <w:sz w:val="22"/>
                <w:szCs w:val="22"/>
              </w:rPr>
            </w:pPr>
            <w:r w:rsidRPr="00CE056F">
              <w:rPr>
                <w:rFonts w:cs="Arial"/>
                <w:sz w:val="22"/>
                <w:szCs w:val="22"/>
              </w:rPr>
              <w:t xml:space="preserve">Yes </w:t>
            </w:r>
          </w:p>
        </w:tc>
        <w:tc>
          <w:tcPr>
            <w:tcW w:w="3212" w:type="dxa"/>
            <w:tcBorders>
              <w:top w:val="single" w:sz="4" w:space="0" w:color="auto"/>
              <w:left w:val="single" w:sz="4" w:space="0" w:color="auto"/>
              <w:bottom w:val="single" w:sz="4" w:space="0" w:color="auto"/>
              <w:right w:val="single" w:sz="4" w:space="0" w:color="auto"/>
            </w:tcBorders>
            <w:hideMark/>
          </w:tcPr>
          <w:p w14:paraId="5EF0D885" w14:textId="77777777" w:rsidR="00E6415E" w:rsidRPr="00CE056F" w:rsidRDefault="00E6415E" w:rsidP="00C11BE3">
            <w:pPr>
              <w:tabs>
                <w:tab w:val="left" w:pos="567"/>
              </w:tabs>
              <w:rPr>
                <w:rFonts w:cs="Arial"/>
                <w:b/>
                <w:sz w:val="22"/>
                <w:szCs w:val="22"/>
              </w:rPr>
            </w:pPr>
            <w:r w:rsidRPr="00CE056F">
              <w:rPr>
                <w:rFonts w:cs="Arial"/>
                <w:b/>
                <w:sz w:val="22"/>
                <w:szCs w:val="22"/>
              </w:rPr>
              <w:t>No</w:t>
            </w:r>
          </w:p>
        </w:tc>
      </w:tr>
    </w:tbl>
    <w:p w14:paraId="5ADD5AEB" w14:textId="77777777" w:rsidR="00E6415E" w:rsidRDefault="00E6415E" w:rsidP="00E6415E">
      <w:pPr>
        <w:pBdr>
          <w:top w:val="single" w:sz="2" w:space="1" w:color="FFFFFF"/>
          <w:left w:val="single" w:sz="2" w:space="0" w:color="FFFFFF"/>
          <w:bottom w:val="single" w:sz="2" w:space="2" w:color="FFFFFF"/>
          <w:right w:val="single" w:sz="2" w:space="4" w:color="FFFFFF"/>
        </w:pBdr>
        <w:tabs>
          <w:tab w:val="left" w:pos="567"/>
          <w:tab w:val="left" w:pos="709"/>
        </w:tabs>
        <w:ind w:right="141"/>
        <w:rPr>
          <w:rFonts w:cs="Arial"/>
          <w:b/>
          <w:caps/>
          <w:sz w:val="22"/>
          <w:szCs w:val="22"/>
        </w:rPr>
      </w:pPr>
    </w:p>
    <w:p w14:paraId="78F5DF3B" w14:textId="77777777" w:rsidR="00E6415E" w:rsidRPr="006E0586" w:rsidRDefault="00E6415E" w:rsidP="00E6415E">
      <w:pPr>
        <w:pBdr>
          <w:top w:val="single" w:sz="2" w:space="1" w:color="FFFFFF"/>
          <w:left w:val="single" w:sz="2" w:space="0" w:color="FFFFFF"/>
          <w:bottom w:val="single" w:sz="2" w:space="2" w:color="FFFFFF"/>
          <w:right w:val="single" w:sz="2" w:space="4" w:color="FFFFFF"/>
        </w:pBdr>
        <w:tabs>
          <w:tab w:val="left" w:pos="567"/>
          <w:tab w:val="left" w:pos="709"/>
        </w:tabs>
        <w:ind w:right="141"/>
        <w:rPr>
          <w:rFonts w:cs="Arial"/>
          <w:b/>
          <w:caps/>
          <w:szCs w:val="24"/>
        </w:rPr>
      </w:pPr>
      <w:r w:rsidRPr="006E0586">
        <w:rPr>
          <w:rFonts w:cs="Arial"/>
          <w:b/>
          <w:caps/>
          <w:szCs w:val="24"/>
        </w:rPr>
        <w:t>CORPORATE PRIORITIES</w:t>
      </w:r>
    </w:p>
    <w:p w14:paraId="0B81CFED" w14:textId="77777777" w:rsidR="00E6415E" w:rsidRPr="00210ADD" w:rsidRDefault="00E6415E" w:rsidP="00E6415E">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rFonts w:cs="Arial"/>
          <w:sz w:val="18"/>
          <w:szCs w:val="18"/>
        </w:rPr>
      </w:pPr>
    </w:p>
    <w:p w14:paraId="0E126362" w14:textId="77777777" w:rsidR="00E6415E" w:rsidRPr="003F388A" w:rsidRDefault="00E6415E" w:rsidP="00E6415E">
      <w:pPr>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rFonts w:cs="Arial"/>
          <w:szCs w:val="22"/>
        </w:rPr>
      </w:pPr>
      <w:r w:rsidRPr="003F388A">
        <w:rPr>
          <w:rFonts w:cs="Arial"/>
          <w:szCs w:val="22"/>
        </w:rPr>
        <w:t xml:space="preserve">This report relates to the following </w:t>
      </w:r>
      <w:r>
        <w:rPr>
          <w:rFonts w:cs="Arial"/>
          <w:szCs w:val="22"/>
        </w:rPr>
        <w:t>corporate priorities</w:t>
      </w:r>
      <w:r w:rsidRPr="003F388A">
        <w:rPr>
          <w:rFonts w:cs="Arial"/>
          <w:szCs w:val="22"/>
        </w:rPr>
        <w:t>:</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
        <w:gridCol w:w="3827"/>
        <w:gridCol w:w="567"/>
      </w:tblGrid>
      <w:tr w:rsidR="00E6415E" w:rsidRPr="00B35C36" w14:paraId="7583FD0B" w14:textId="77777777" w:rsidTr="00C11BE3">
        <w:tc>
          <w:tcPr>
            <w:tcW w:w="4678" w:type="dxa"/>
          </w:tcPr>
          <w:p w14:paraId="727B677D" w14:textId="77777777" w:rsidR="00E6415E" w:rsidRPr="00B35C36" w:rsidRDefault="00E6415E" w:rsidP="00C11BE3">
            <w:pPr>
              <w:tabs>
                <w:tab w:val="left" w:pos="567"/>
              </w:tabs>
              <w:rPr>
                <w:rFonts w:cs="Arial"/>
                <w:sz w:val="22"/>
                <w:szCs w:val="22"/>
              </w:rPr>
            </w:pPr>
            <w:r>
              <w:rPr>
                <w:rFonts w:cs="Arial"/>
                <w:sz w:val="22"/>
                <w:szCs w:val="22"/>
                <w:lang w:eastAsia="en-GB"/>
              </w:rPr>
              <w:t>An exemplary council</w:t>
            </w:r>
          </w:p>
        </w:tc>
        <w:tc>
          <w:tcPr>
            <w:tcW w:w="567" w:type="dxa"/>
          </w:tcPr>
          <w:p w14:paraId="033E0BCB" w14:textId="77777777" w:rsidR="00E6415E" w:rsidRPr="00B35C36" w:rsidRDefault="00E6415E" w:rsidP="00C11BE3">
            <w:pPr>
              <w:tabs>
                <w:tab w:val="left" w:pos="567"/>
              </w:tabs>
              <w:jc w:val="center"/>
              <w:rPr>
                <w:rFonts w:cs="Arial"/>
                <w:sz w:val="22"/>
                <w:szCs w:val="22"/>
              </w:rPr>
            </w:pPr>
            <w:r w:rsidRPr="00B35C36">
              <w:rPr>
                <w:rFonts w:cs="Arial"/>
                <w:sz w:val="22"/>
                <w:szCs w:val="22"/>
              </w:rPr>
              <w:sym w:font="Wingdings" w:char="F0FC"/>
            </w:r>
          </w:p>
        </w:tc>
        <w:tc>
          <w:tcPr>
            <w:tcW w:w="3827" w:type="dxa"/>
          </w:tcPr>
          <w:p w14:paraId="7E571514" w14:textId="77777777" w:rsidR="00E6415E" w:rsidRPr="00B35C36" w:rsidRDefault="00E6415E" w:rsidP="00C11BE3">
            <w:pPr>
              <w:tabs>
                <w:tab w:val="left" w:pos="567"/>
              </w:tabs>
              <w:rPr>
                <w:rFonts w:cs="Arial"/>
                <w:sz w:val="22"/>
                <w:szCs w:val="22"/>
              </w:rPr>
            </w:pPr>
            <w:r>
              <w:rPr>
                <w:rFonts w:cs="Arial"/>
                <w:sz w:val="22"/>
                <w:szCs w:val="22"/>
                <w:lang w:eastAsia="en-GB"/>
              </w:rPr>
              <w:t>Thriving communities</w:t>
            </w:r>
          </w:p>
        </w:tc>
        <w:tc>
          <w:tcPr>
            <w:tcW w:w="567" w:type="dxa"/>
          </w:tcPr>
          <w:p w14:paraId="6DD09228" w14:textId="77777777" w:rsidR="00E6415E" w:rsidRPr="00B35C36" w:rsidRDefault="00E6415E" w:rsidP="00C11BE3">
            <w:pPr>
              <w:tabs>
                <w:tab w:val="left" w:pos="567"/>
              </w:tabs>
              <w:jc w:val="center"/>
              <w:rPr>
                <w:rFonts w:cs="Arial"/>
                <w:sz w:val="22"/>
                <w:szCs w:val="22"/>
              </w:rPr>
            </w:pPr>
            <w:r w:rsidRPr="00B35C36">
              <w:rPr>
                <w:rFonts w:cs="Arial"/>
                <w:sz w:val="22"/>
                <w:szCs w:val="22"/>
              </w:rPr>
              <w:sym w:font="Wingdings" w:char="F0FC"/>
            </w:r>
          </w:p>
        </w:tc>
      </w:tr>
      <w:tr w:rsidR="00E6415E" w:rsidRPr="00B35C36" w14:paraId="36667D38" w14:textId="77777777" w:rsidTr="00C11BE3">
        <w:tc>
          <w:tcPr>
            <w:tcW w:w="4678" w:type="dxa"/>
          </w:tcPr>
          <w:p w14:paraId="638F7A37" w14:textId="77777777" w:rsidR="00E6415E" w:rsidRPr="00B35C36" w:rsidRDefault="00E6415E" w:rsidP="00C11BE3">
            <w:pPr>
              <w:tabs>
                <w:tab w:val="left" w:pos="567"/>
              </w:tabs>
              <w:rPr>
                <w:rFonts w:cs="Arial"/>
                <w:sz w:val="22"/>
                <w:szCs w:val="22"/>
              </w:rPr>
            </w:pPr>
            <w:r>
              <w:rPr>
                <w:rFonts w:cs="Arial"/>
                <w:sz w:val="22"/>
                <w:szCs w:val="22"/>
                <w:lang w:eastAsia="en-GB"/>
              </w:rPr>
              <w:t>A fair local economy that works for everyone</w:t>
            </w:r>
          </w:p>
        </w:tc>
        <w:tc>
          <w:tcPr>
            <w:tcW w:w="567" w:type="dxa"/>
          </w:tcPr>
          <w:p w14:paraId="12508D7D" w14:textId="77777777" w:rsidR="00E6415E" w:rsidRPr="00B35C36" w:rsidRDefault="00E6415E" w:rsidP="00C11BE3">
            <w:pPr>
              <w:tabs>
                <w:tab w:val="left" w:pos="567"/>
              </w:tabs>
              <w:jc w:val="center"/>
              <w:rPr>
                <w:rFonts w:cs="Arial"/>
                <w:sz w:val="22"/>
                <w:szCs w:val="22"/>
              </w:rPr>
            </w:pPr>
            <w:r w:rsidRPr="00B35C36">
              <w:rPr>
                <w:rFonts w:cs="Arial"/>
                <w:sz w:val="22"/>
                <w:szCs w:val="22"/>
              </w:rPr>
              <w:sym w:font="Wingdings" w:char="F0FC"/>
            </w:r>
          </w:p>
        </w:tc>
        <w:tc>
          <w:tcPr>
            <w:tcW w:w="3827" w:type="dxa"/>
          </w:tcPr>
          <w:p w14:paraId="3750B167" w14:textId="77777777" w:rsidR="00E6415E" w:rsidRPr="00B35C36" w:rsidRDefault="00E6415E" w:rsidP="00C11BE3">
            <w:pPr>
              <w:autoSpaceDE w:val="0"/>
              <w:autoSpaceDN w:val="0"/>
              <w:adjustRightInd w:val="0"/>
              <w:jc w:val="left"/>
              <w:rPr>
                <w:rFonts w:cs="Arial"/>
                <w:sz w:val="22"/>
                <w:szCs w:val="22"/>
              </w:rPr>
            </w:pPr>
            <w:r>
              <w:rPr>
                <w:rFonts w:cs="Arial"/>
                <w:sz w:val="22"/>
                <w:szCs w:val="22"/>
                <w:lang w:eastAsia="en-GB"/>
              </w:rPr>
              <w:t>Good homes, green spaces, and healthy spaces</w:t>
            </w:r>
          </w:p>
        </w:tc>
        <w:tc>
          <w:tcPr>
            <w:tcW w:w="567" w:type="dxa"/>
          </w:tcPr>
          <w:p w14:paraId="2DB290B7" w14:textId="77777777" w:rsidR="00E6415E" w:rsidRPr="00B35C36" w:rsidRDefault="00E6415E" w:rsidP="00C11BE3">
            <w:pPr>
              <w:tabs>
                <w:tab w:val="left" w:pos="567"/>
              </w:tabs>
              <w:jc w:val="center"/>
              <w:rPr>
                <w:rFonts w:cs="Arial"/>
                <w:sz w:val="22"/>
                <w:szCs w:val="22"/>
              </w:rPr>
            </w:pPr>
            <w:r w:rsidRPr="00B35C36">
              <w:rPr>
                <w:rFonts w:cs="Arial"/>
                <w:sz w:val="22"/>
                <w:szCs w:val="22"/>
              </w:rPr>
              <w:sym w:font="Wingdings" w:char="F0FC"/>
            </w:r>
          </w:p>
        </w:tc>
      </w:tr>
    </w:tbl>
    <w:p w14:paraId="14DEA4CA" w14:textId="77777777" w:rsidR="00E6415E" w:rsidRPr="006E0586" w:rsidRDefault="00E6415E" w:rsidP="00E6415E">
      <w:pPr>
        <w:pBdr>
          <w:top w:val="single" w:sz="2" w:space="0" w:color="FFFFFF"/>
          <w:left w:val="single" w:sz="2" w:space="0" w:color="FFFFFF"/>
          <w:bottom w:val="single" w:sz="2" w:space="2" w:color="FFFFFF"/>
          <w:right w:val="single" w:sz="2" w:space="4" w:color="FFFFFF"/>
        </w:pBdr>
        <w:tabs>
          <w:tab w:val="left" w:pos="567"/>
        </w:tabs>
        <w:ind w:right="141"/>
        <w:rPr>
          <w:rFonts w:cs="Arial"/>
          <w:b/>
          <w:caps/>
          <w:szCs w:val="24"/>
        </w:rPr>
      </w:pPr>
    </w:p>
    <w:p w14:paraId="3C648BE3" w14:textId="77777777" w:rsidR="00E6415E" w:rsidRPr="006E0586" w:rsidRDefault="00E6415E" w:rsidP="00E6415E">
      <w:pPr>
        <w:pBdr>
          <w:top w:val="single" w:sz="2" w:space="0" w:color="FFFFFF"/>
          <w:left w:val="single" w:sz="2" w:space="0" w:color="FFFFFF"/>
          <w:bottom w:val="single" w:sz="2" w:space="2" w:color="FFFFFF"/>
          <w:right w:val="single" w:sz="2" w:space="4" w:color="FFFFFF"/>
        </w:pBdr>
        <w:tabs>
          <w:tab w:val="left" w:pos="567"/>
        </w:tabs>
        <w:ind w:right="141"/>
        <w:rPr>
          <w:rFonts w:cs="Arial"/>
          <w:b/>
          <w:caps/>
          <w:szCs w:val="24"/>
        </w:rPr>
      </w:pPr>
      <w:r w:rsidRPr="006E0586">
        <w:rPr>
          <w:rFonts w:cs="Arial"/>
          <w:b/>
          <w:caps/>
          <w:szCs w:val="24"/>
        </w:rPr>
        <w:t xml:space="preserve">background </w:t>
      </w:r>
    </w:p>
    <w:p w14:paraId="78574746" w14:textId="77777777" w:rsidR="00E6415E" w:rsidRPr="00FA292C" w:rsidRDefault="00E6415E" w:rsidP="00E6415E">
      <w:pPr>
        <w:pBdr>
          <w:top w:val="single" w:sz="2" w:space="0" w:color="FFFFFF"/>
          <w:left w:val="single" w:sz="2" w:space="0" w:color="FFFFFF"/>
          <w:bottom w:val="single" w:sz="2" w:space="2" w:color="FFFFFF"/>
          <w:right w:val="single" w:sz="2" w:space="4" w:color="FFFFFF"/>
        </w:pBdr>
        <w:tabs>
          <w:tab w:val="left" w:pos="567"/>
          <w:tab w:val="left" w:pos="940"/>
        </w:tabs>
        <w:ind w:right="141"/>
        <w:rPr>
          <w:rFonts w:cs="Arial"/>
          <w:sz w:val="22"/>
          <w:szCs w:val="22"/>
        </w:rPr>
      </w:pPr>
    </w:p>
    <w:p w14:paraId="47563108" w14:textId="77777777" w:rsidR="00E6415E" w:rsidRPr="00FA292C" w:rsidRDefault="00E6415E" w:rsidP="00E6415E">
      <w:pPr>
        <w:numPr>
          <w:ilvl w:val="0"/>
          <w:numId w:val="2"/>
        </w:numPr>
        <w:pBdr>
          <w:top w:val="single" w:sz="2" w:space="1" w:color="FFFFFF"/>
          <w:left w:val="single" w:sz="2" w:space="0" w:color="FFFFFF"/>
          <w:bottom w:val="single" w:sz="2" w:space="2" w:color="FFFFFF"/>
          <w:right w:val="single" w:sz="2" w:space="4" w:color="FFFFFF"/>
        </w:pBdr>
        <w:ind w:right="141"/>
        <w:jc w:val="left"/>
        <w:rPr>
          <w:rFonts w:cs="Arial"/>
          <w:szCs w:val="22"/>
        </w:rPr>
      </w:pPr>
      <w:r>
        <w:rPr>
          <w:rFonts w:cs="Arial"/>
          <w:szCs w:val="22"/>
        </w:rPr>
        <w:t xml:space="preserve">The budget consultation aimed to gather feedback from residents and promote engagement around the budget proposals for the next financial year. </w:t>
      </w:r>
    </w:p>
    <w:p w14:paraId="50A3C943" w14:textId="77777777" w:rsidR="00E6415E" w:rsidRPr="00FA292C" w:rsidRDefault="00E6415E" w:rsidP="00E6415E">
      <w:pPr>
        <w:pBdr>
          <w:top w:val="single" w:sz="2" w:space="1" w:color="FFFFFF"/>
          <w:left w:val="single" w:sz="2" w:space="0" w:color="FFFFFF"/>
          <w:bottom w:val="single" w:sz="2" w:space="2" w:color="FFFFFF"/>
          <w:right w:val="single" w:sz="2" w:space="4" w:color="FFFFFF"/>
        </w:pBdr>
        <w:ind w:right="141"/>
        <w:jc w:val="left"/>
        <w:rPr>
          <w:rFonts w:cs="Arial"/>
          <w:szCs w:val="22"/>
        </w:rPr>
      </w:pPr>
    </w:p>
    <w:p w14:paraId="0A3A86E5" w14:textId="7AF10C3F" w:rsidR="00E6415E" w:rsidRDefault="00E6415E" w:rsidP="00EF25B9">
      <w:pPr>
        <w:numPr>
          <w:ilvl w:val="0"/>
          <w:numId w:val="2"/>
        </w:numPr>
        <w:pBdr>
          <w:top w:val="single" w:sz="2" w:space="1" w:color="FFFFFF"/>
          <w:left w:val="single" w:sz="2" w:space="0" w:color="FFFFFF"/>
          <w:bottom w:val="single" w:sz="2" w:space="2" w:color="FFFFFF"/>
          <w:right w:val="single" w:sz="2" w:space="4" w:color="FFFFFF"/>
        </w:pBdr>
        <w:ind w:right="141"/>
        <w:jc w:val="left"/>
        <w:rPr>
          <w:rFonts w:cs="Arial"/>
          <w:szCs w:val="22"/>
        </w:rPr>
      </w:pPr>
      <w:r w:rsidRPr="00FA292C">
        <w:rPr>
          <w:rFonts w:cs="Arial"/>
          <w:szCs w:val="22"/>
        </w:rPr>
        <w:t>The 202</w:t>
      </w:r>
      <w:r w:rsidR="002460EB">
        <w:rPr>
          <w:rFonts w:cs="Arial"/>
          <w:szCs w:val="22"/>
        </w:rPr>
        <w:t>2</w:t>
      </w:r>
      <w:r w:rsidRPr="00FA292C">
        <w:rPr>
          <w:rFonts w:cs="Arial"/>
          <w:szCs w:val="22"/>
        </w:rPr>
        <w:t>/2</w:t>
      </w:r>
      <w:r w:rsidR="002460EB">
        <w:rPr>
          <w:rFonts w:cs="Arial"/>
          <w:szCs w:val="22"/>
        </w:rPr>
        <w:t>3</w:t>
      </w:r>
      <w:r w:rsidRPr="00FA292C">
        <w:rPr>
          <w:rFonts w:cs="Arial"/>
          <w:szCs w:val="22"/>
        </w:rPr>
        <w:t xml:space="preserve"> budget consultation ran from the </w:t>
      </w:r>
      <w:r>
        <w:rPr>
          <w:rFonts w:cs="Arial"/>
          <w:szCs w:val="22"/>
        </w:rPr>
        <w:t>1</w:t>
      </w:r>
      <w:r w:rsidRPr="001C76D4">
        <w:rPr>
          <w:rFonts w:cs="Arial"/>
          <w:szCs w:val="22"/>
          <w:vertAlign w:val="superscript"/>
        </w:rPr>
        <w:t>st</w:t>
      </w:r>
      <w:r w:rsidRPr="00FA292C">
        <w:rPr>
          <w:rFonts w:cs="Arial"/>
          <w:szCs w:val="22"/>
          <w:vertAlign w:val="superscript"/>
        </w:rPr>
        <w:t xml:space="preserve"> </w:t>
      </w:r>
      <w:r w:rsidRPr="00FA292C">
        <w:rPr>
          <w:rFonts w:cs="Arial"/>
          <w:szCs w:val="22"/>
        </w:rPr>
        <w:t>February to the 1</w:t>
      </w:r>
      <w:r>
        <w:rPr>
          <w:rFonts w:cs="Arial"/>
          <w:szCs w:val="22"/>
        </w:rPr>
        <w:t>0</w:t>
      </w:r>
      <w:r w:rsidR="00895A07" w:rsidRPr="00895A07">
        <w:rPr>
          <w:rFonts w:cs="Arial"/>
          <w:szCs w:val="22"/>
          <w:vertAlign w:val="superscript"/>
        </w:rPr>
        <w:t>th</w:t>
      </w:r>
      <w:r w:rsidR="00895A07">
        <w:rPr>
          <w:rFonts w:cs="Arial"/>
          <w:szCs w:val="22"/>
        </w:rPr>
        <w:t xml:space="preserve"> </w:t>
      </w:r>
      <w:r w:rsidRPr="00FA292C">
        <w:rPr>
          <w:rFonts w:cs="Arial"/>
          <w:szCs w:val="22"/>
        </w:rPr>
        <w:t>February 202</w:t>
      </w:r>
      <w:r w:rsidR="002460EB">
        <w:rPr>
          <w:rFonts w:cs="Arial"/>
          <w:szCs w:val="22"/>
        </w:rPr>
        <w:t xml:space="preserve">2 </w:t>
      </w:r>
      <w:bookmarkStart w:id="0" w:name="_Hlk95653930"/>
      <w:r w:rsidRPr="00FA292C">
        <w:rPr>
          <w:rFonts w:cs="Arial"/>
          <w:szCs w:val="22"/>
        </w:rPr>
        <w:t xml:space="preserve">and was conducted through an online survey. </w:t>
      </w:r>
      <w:r>
        <w:rPr>
          <w:rFonts w:cs="Arial"/>
          <w:szCs w:val="22"/>
        </w:rPr>
        <w:t xml:space="preserve">The consultation relates to the proposals set out in the budget positions statement, forecast budget </w:t>
      </w:r>
      <w:r w:rsidRPr="00FA292C">
        <w:rPr>
          <w:rFonts w:cs="Arial"/>
          <w:szCs w:val="22"/>
        </w:rPr>
        <w:t xml:space="preserve">and guiding principles for application of the budget over the next 3-year financial </w:t>
      </w:r>
      <w:bookmarkEnd w:id="0"/>
      <w:r w:rsidRPr="00FA292C">
        <w:rPr>
          <w:rFonts w:cs="Arial"/>
          <w:szCs w:val="22"/>
        </w:rPr>
        <w:t>period.</w:t>
      </w:r>
    </w:p>
    <w:p w14:paraId="088BE91E" w14:textId="77777777" w:rsidR="00EF25B9" w:rsidRPr="00EF25B9" w:rsidRDefault="00EF25B9" w:rsidP="00EF25B9">
      <w:pPr>
        <w:pBdr>
          <w:top w:val="single" w:sz="2" w:space="1" w:color="FFFFFF"/>
          <w:left w:val="single" w:sz="2" w:space="0" w:color="FFFFFF"/>
          <w:bottom w:val="single" w:sz="2" w:space="2" w:color="FFFFFF"/>
          <w:right w:val="single" w:sz="2" w:space="4" w:color="FFFFFF"/>
        </w:pBdr>
        <w:ind w:right="141"/>
        <w:jc w:val="left"/>
        <w:rPr>
          <w:rFonts w:cs="Arial"/>
          <w:szCs w:val="22"/>
        </w:rPr>
      </w:pPr>
    </w:p>
    <w:p w14:paraId="0255C7BA" w14:textId="71D1D3A6" w:rsidR="00E6415E" w:rsidRPr="004F0FAC" w:rsidRDefault="00E6415E" w:rsidP="00E6415E">
      <w:pPr>
        <w:numPr>
          <w:ilvl w:val="0"/>
          <w:numId w:val="2"/>
        </w:numPr>
        <w:pBdr>
          <w:top w:val="single" w:sz="2" w:space="1" w:color="FFFFFF"/>
          <w:left w:val="single" w:sz="2" w:space="0" w:color="FFFFFF"/>
          <w:bottom w:val="single" w:sz="2" w:space="2" w:color="FFFFFF"/>
          <w:right w:val="single" w:sz="2" w:space="4" w:color="FFFFFF"/>
        </w:pBdr>
        <w:ind w:right="141"/>
        <w:jc w:val="left"/>
        <w:rPr>
          <w:rFonts w:cs="Arial"/>
          <w:szCs w:val="22"/>
        </w:rPr>
      </w:pPr>
      <w:r w:rsidRPr="004F0FAC">
        <w:rPr>
          <w:rFonts w:cs="Arial"/>
          <w:szCs w:val="22"/>
        </w:rPr>
        <w:t xml:space="preserve">The survey was structured into </w:t>
      </w:r>
      <w:r w:rsidR="00EF25B9">
        <w:rPr>
          <w:rFonts w:cs="Arial"/>
          <w:szCs w:val="22"/>
        </w:rPr>
        <w:t>three</w:t>
      </w:r>
      <w:r w:rsidRPr="004F0FAC">
        <w:rPr>
          <w:rFonts w:cs="Arial"/>
          <w:szCs w:val="22"/>
        </w:rPr>
        <w:t xml:space="preserve"> parts. In part one, participants were presented with </w:t>
      </w:r>
      <w:r>
        <w:rPr>
          <w:rFonts w:cs="Arial"/>
          <w:szCs w:val="22"/>
        </w:rPr>
        <w:t>eight</w:t>
      </w:r>
      <w:r w:rsidRPr="004F0FAC">
        <w:rPr>
          <w:rFonts w:cs="Arial"/>
          <w:szCs w:val="22"/>
        </w:rPr>
        <w:t xml:space="preserve"> priority </w:t>
      </w:r>
      <w:r w:rsidRPr="004F0FAC">
        <w:rPr>
          <w:rFonts w:cs="Arial"/>
          <w:lang w:val="en-US"/>
        </w:rPr>
        <w:t xml:space="preserve">categories for investment and asked to score each of them on a scale of one (‘low priority’) to five (‘high priority’). The categories included: </w:t>
      </w:r>
    </w:p>
    <w:p w14:paraId="2FDBD774" w14:textId="77777777" w:rsidR="00E6415E" w:rsidRPr="004F0FAC" w:rsidRDefault="00E6415E" w:rsidP="00E6415E">
      <w:pPr>
        <w:pBdr>
          <w:top w:val="single" w:sz="2" w:space="1" w:color="FFFFFF"/>
          <w:left w:val="single" w:sz="2" w:space="0" w:color="FFFFFF"/>
          <w:bottom w:val="single" w:sz="2" w:space="2" w:color="FFFFFF"/>
          <w:right w:val="single" w:sz="2" w:space="4" w:color="FFFFFF"/>
        </w:pBdr>
        <w:ind w:right="141"/>
        <w:jc w:val="left"/>
        <w:rPr>
          <w:rFonts w:cs="Arial"/>
          <w:szCs w:val="22"/>
        </w:rPr>
      </w:pPr>
    </w:p>
    <w:p w14:paraId="1FE54F6B" w14:textId="77777777" w:rsidR="00E6415E" w:rsidRPr="004F0FAC" w:rsidRDefault="00E6415E" w:rsidP="00E6415E">
      <w:pPr>
        <w:pStyle w:val="ListParagraph"/>
        <w:numPr>
          <w:ilvl w:val="0"/>
          <w:numId w:val="3"/>
        </w:numPr>
        <w:pBdr>
          <w:top w:val="single" w:sz="2" w:space="1" w:color="FFFFFF"/>
          <w:left w:val="single" w:sz="2" w:space="0" w:color="FFFFFF"/>
          <w:bottom w:val="single" w:sz="2" w:space="2" w:color="FFFFFF"/>
          <w:right w:val="single" w:sz="2" w:space="4" w:color="FFFFFF"/>
        </w:pBdr>
        <w:ind w:right="141"/>
        <w:jc w:val="left"/>
        <w:rPr>
          <w:rFonts w:cs="Arial"/>
          <w:szCs w:val="22"/>
        </w:rPr>
      </w:pPr>
      <w:r>
        <w:rPr>
          <w:rFonts w:cs="Arial"/>
          <w:szCs w:val="22"/>
        </w:rPr>
        <w:t xml:space="preserve">Supporting businesses to get back on their feet after </w:t>
      </w:r>
      <w:proofErr w:type="spellStart"/>
      <w:r>
        <w:rPr>
          <w:rFonts w:cs="Arial"/>
          <w:szCs w:val="22"/>
        </w:rPr>
        <w:t>Covid</w:t>
      </w:r>
      <w:proofErr w:type="spellEnd"/>
    </w:p>
    <w:p w14:paraId="3B2470EC" w14:textId="77777777" w:rsidR="00E6415E" w:rsidRPr="004F0FAC" w:rsidRDefault="00E6415E" w:rsidP="00E6415E">
      <w:pPr>
        <w:pStyle w:val="ListParagraph"/>
        <w:numPr>
          <w:ilvl w:val="0"/>
          <w:numId w:val="3"/>
        </w:numPr>
        <w:pBdr>
          <w:top w:val="single" w:sz="2" w:space="1" w:color="FFFFFF"/>
          <w:left w:val="single" w:sz="2" w:space="0" w:color="FFFFFF"/>
          <w:bottom w:val="single" w:sz="2" w:space="2" w:color="FFFFFF"/>
          <w:right w:val="single" w:sz="2" w:space="4" w:color="FFFFFF"/>
        </w:pBdr>
        <w:ind w:right="141"/>
        <w:jc w:val="left"/>
        <w:rPr>
          <w:rFonts w:cs="Arial"/>
          <w:szCs w:val="22"/>
        </w:rPr>
      </w:pPr>
      <w:r>
        <w:rPr>
          <w:rFonts w:cs="Arial"/>
          <w:szCs w:val="22"/>
        </w:rPr>
        <w:t>Improving Leyland town centre including delivering the plans set out in the Town Deal.</w:t>
      </w:r>
    </w:p>
    <w:p w14:paraId="000CD84B" w14:textId="77777777" w:rsidR="00E6415E" w:rsidRDefault="00E6415E" w:rsidP="00E6415E">
      <w:pPr>
        <w:pStyle w:val="ListParagraph"/>
        <w:numPr>
          <w:ilvl w:val="0"/>
          <w:numId w:val="3"/>
        </w:numPr>
        <w:pBdr>
          <w:top w:val="single" w:sz="2" w:space="1" w:color="FFFFFF"/>
          <w:left w:val="single" w:sz="2" w:space="0" w:color="FFFFFF"/>
          <w:bottom w:val="single" w:sz="2" w:space="2" w:color="FFFFFF"/>
          <w:right w:val="single" w:sz="2" w:space="4" w:color="FFFFFF"/>
        </w:pBdr>
        <w:ind w:right="141"/>
        <w:jc w:val="left"/>
        <w:rPr>
          <w:rFonts w:cs="Arial"/>
          <w:szCs w:val="22"/>
        </w:rPr>
      </w:pPr>
      <w:r>
        <w:rPr>
          <w:rFonts w:cs="Arial"/>
          <w:szCs w:val="22"/>
        </w:rPr>
        <w:t>Support communities and community facilities to thrive through the community hub boost fund.</w:t>
      </w:r>
    </w:p>
    <w:p w14:paraId="07D25E76" w14:textId="196B56DF" w:rsidR="00E6415E" w:rsidRDefault="00E6415E" w:rsidP="00E6415E">
      <w:pPr>
        <w:pStyle w:val="ListParagraph"/>
        <w:numPr>
          <w:ilvl w:val="0"/>
          <w:numId w:val="3"/>
        </w:numPr>
        <w:pBdr>
          <w:top w:val="single" w:sz="2" w:space="1" w:color="FFFFFF"/>
          <w:left w:val="single" w:sz="2" w:space="0" w:color="FFFFFF"/>
          <w:bottom w:val="single" w:sz="2" w:space="2" w:color="FFFFFF"/>
          <w:right w:val="single" w:sz="2" w:space="4" w:color="FFFFFF"/>
        </w:pBdr>
        <w:ind w:right="141"/>
        <w:jc w:val="left"/>
        <w:rPr>
          <w:rFonts w:cs="Arial"/>
          <w:szCs w:val="22"/>
        </w:rPr>
      </w:pPr>
      <w:r>
        <w:rPr>
          <w:rFonts w:cs="Arial"/>
          <w:szCs w:val="22"/>
        </w:rPr>
        <w:t xml:space="preserve">Work to target </w:t>
      </w:r>
      <w:r w:rsidR="00270414">
        <w:rPr>
          <w:rFonts w:cs="Arial"/>
          <w:szCs w:val="22"/>
        </w:rPr>
        <w:t>fly-tipping</w:t>
      </w:r>
      <w:r>
        <w:rPr>
          <w:rFonts w:cs="Arial"/>
          <w:szCs w:val="22"/>
        </w:rPr>
        <w:t xml:space="preserve"> and environmental improvements</w:t>
      </w:r>
    </w:p>
    <w:p w14:paraId="2C7E8499" w14:textId="77777777" w:rsidR="00E6415E" w:rsidRDefault="00E6415E" w:rsidP="00E6415E">
      <w:pPr>
        <w:pStyle w:val="ListParagraph"/>
        <w:numPr>
          <w:ilvl w:val="0"/>
          <w:numId w:val="3"/>
        </w:numPr>
        <w:pBdr>
          <w:top w:val="single" w:sz="2" w:space="1" w:color="FFFFFF"/>
          <w:left w:val="single" w:sz="2" w:space="0" w:color="FFFFFF"/>
          <w:bottom w:val="single" w:sz="2" w:space="2" w:color="FFFFFF"/>
          <w:right w:val="single" w:sz="2" w:space="4" w:color="FFFFFF"/>
        </w:pBdr>
        <w:ind w:right="141"/>
        <w:jc w:val="left"/>
        <w:rPr>
          <w:rFonts w:cs="Arial"/>
          <w:szCs w:val="22"/>
        </w:rPr>
      </w:pPr>
      <w:r>
        <w:rPr>
          <w:rFonts w:cs="Arial"/>
          <w:szCs w:val="22"/>
        </w:rPr>
        <w:t>Delivering excellent leisure services and running leisure centres efficiently</w:t>
      </w:r>
    </w:p>
    <w:p w14:paraId="0CB1BDC4" w14:textId="77777777" w:rsidR="00E6415E" w:rsidRDefault="00E6415E" w:rsidP="00E6415E">
      <w:pPr>
        <w:pStyle w:val="ListParagraph"/>
        <w:numPr>
          <w:ilvl w:val="0"/>
          <w:numId w:val="3"/>
        </w:numPr>
        <w:pBdr>
          <w:top w:val="single" w:sz="2" w:space="1" w:color="FFFFFF"/>
          <w:left w:val="single" w:sz="2" w:space="0" w:color="FFFFFF"/>
          <w:bottom w:val="single" w:sz="2" w:space="2" w:color="FFFFFF"/>
          <w:right w:val="single" w:sz="2" w:space="4" w:color="FFFFFF"/>
        </w:pBdr>
        <w:ind w:right="141"/>
        <w:jc w:val="left"/>
        <w:rPr>
          <w:rFonts w:cs="Arial"/>
          <w:szCs w:val="22"/>
        </w:rPr>
      </w:pPr>
      <w:r>
        <w:rPr>
          <w:rFonts w:cs="Arial"/>
          <w:szCs w:val="22"/>
        </w:rPr>
        <w:t>Taking steps to retain wealth within the borough through local job creation</w:t>
      </w:r>
    </w:p>
    <w:p w14:paraId="19C9C3D9" w14:textId="77777777" w:rsidR="00E6415E" w:rsidRDefault="00E6415E" w:rsidP="00E6415E">
      <w:pPr>
        <w:pStyle w:val="ListParagraph"/>
        <w:numPr>
          <w:ilvl w:val="0"/>
          <w:numId w:val="3"/>
        </w:numPr>
        <w:pBdr>
          <w:top w:val="single" w:sz="2" w:space="1" w:color="FFFFFF"/>
          <w:left w:val="single" w:sz="2" w:space="0" w:color="FFFFFF"/>
          <w:bottom w:val="single" w:sz="2" w:space="2" w:color="FFFFFF"/>
          <w:right w:val="single" w:sz="2" w:space="4" w:color="FFFFFF"/>
        </w:pBdr>
        <w:ind w:right="141"/>
        <w:jc w:val="left"/>
        <w:rPr>
          <w:rFonts w:cs="Arial"/>
          <w:szCs w:val="22"/>
        </w:rPr>
      </w:pPr>
      <w:r>
        <w:rPr>
          <w:rFonts w:cs="Arial"/>
          <w:szCs w:val="22"/>
        </w:rPr>
        <w:t>Improvements to play areas and open spaces across the borough</w:t>
      </w:r>
    </w:p>
    <w:p w14:paraId="6C6B25C9" w14:textId="77777777" w:rsidR="00E6415E" w:rsidRPr="004F0FAC" w:rsidRDefault="00E6415E" w:rsidP="00E6415E">
      <w:pPr>
        <w:pStyle w:val="ListParagraph"/>
        <w:numPr>
          <w:ilvl w:val="0"/>
          <w:numId w:val="3"/>
        </w:numPr>
        <w:pBdr>
          <w:top w:val="single" w:sz="2" w:space="1" w:color="FFFFFF"/>
          <w:left w:val="single" w:sz="2" w:space="0" w:color="FFFFFF"/>
          <w:bottom w:val="single" w:sz="2" w:space="2" w:color="FFFFFF"/>
          <w:right w:val="single" w:sz="2" w:space="4" w:color="FFFFFF"/>
        </w:pBdr>
        <w:ind w:right="141"/>
        <w:jc w:val="left"/>
        <w:rPr>
          <w:rFonts w:cs="Arial"/>
          <w:szCs w:val="22"/>
        </w:rPr>
      </w:pPr>
      <w:r>
        <w:rPr>
          <w:rFonts w:cs="Arial"/>
          <w:szCs w:val="22"/>
        </w:rPr>
        <w:t>Support the development of affordable homes</w:t>
      </w:r>
    </w:p>
    <w:p w14:paraId="65957492" w14:textId="77777777" w:rsidR="00E6415E" w:rsidRPr="004F0FAC" w:rsidRDefault="00E6415E" w:rsidP="00E6415E">
      <w:pPr>
        <w:pBdr>
          <w:top w:val="single" w:sz="2" w:space="0" w:color="FFFFFF"/>
          <w:left w:val="single" w:sz="2" w:space="0" w:color="FFFFFF"/>
          <w:bottom w:val="single" w:sz="2" w:space="2" w:color="FFFFFF"/>
          <w:right w:val="single" w:sz="2" w:space="4" w:color="FFFFFF"/>
        </w:pBdr>
        <w:ind w:right="141"/>
        <w:jc w:val="left"/>
        <w:rPr>
          <w:rFonts w:cs="Arial"/>
          <w:szCs w:val="22"/>
        </w:rPr>
      </w:pPr>
    </w:p>
    <w:p w14:paraId="31A5FC40" w14:textId="57C2B182" w:rsidR="00E6415E" w:rsidRPr="004F0FAC" w:rsidRDefault="00E6415E" w:rsidP="00E6415E">
      <w:pPr>
        <w:numPr>
          <w:ilvl w:val="0"/>
          <w:numId w:val="1"/>
        </w:numPr>
        <w:pBdr>
          <w:top w:val="single" w:sz="2" w:space="0" w:color="FFFFFF"/>
          <w:left w:val="single" w:sz="2" w:space="0" w:color="FFFFFF"/>
          <w:bottom w:val="single" w:sz="2" w:space="2" w:color="FFFFFF"/>
          <w:right w:val="single" w:sz="2" w:space="4" w:color="FFFFFF"/>
        </w:pBdr>
        <w:ind w:right="141"/>
        <w:jc w:val="left"/>
        <w:rPr>
          <w:rFonts w:cs="Arial"/>
          <w:szCs w:val="22"/>
        </w:rPr>
      </w:pPr>
      <w:r w:rsidRPr="004F0FAC">
        <w:rPr>
          <w:rFonts w:cs="Arial"/>
          <w:szCs w:val="22"/>
        </w:rPr>
        <w:t>In part two, participants were</w:t>
      </w:r>
      <w:r w:rsidR="00B06087">
        <w:rPr>
          <w:rFonts w:cs="Arial"/>
          <w:szCs w:val="22"/>
        </w:rPr>
        <w:t xml:space="preserve"> asked</w:t>
      </w:r>
      <w:r w:rsidRPr="004F0FAC">
        <w:rPr>
          <w:rFonts w:cs="Arial"/>
          <w:szCs w:val="22"/>
        </w:rPr>
        <w:t xml:space="preserve"> </w:t>
      </w:r>
      <w:r>
        <w:rPr>
          <w:rFonts w:cs="Arial"/>
          <w:szCs w:val="22"/>
        </w:rPr>
        <w:t xml:space="preserve">whether they agreed to a Council Tax increase in line with inflation. </w:t>
      </w:r>
      <w:r w:rsidR="00B06087">
        <w:rPr>
          <w:rFonts w:cs="Arial"/>
          <w:szCs w:val="22"/>
        </w:rPr>
        <w:t>In p</w:t>
      </w:r>
      <w:r w:rsidR="00EF25B9">
        <w:rPr>
          <w:rFonts w:cs="Arial"/>
          <w:szCs w:val="22"/>
        </w:rPr>
        <w:t>art three</w:t>
      </w:r>
      <w:r w:rsidR="00B06087">
        <w:rPr>
          <w:rFonts w:cs="Arial"/>
          <w:szCs w:val="22"/>
        </w:rPr>
        <w:t xml:space="preserve">, participants were </w:t>
      </w:r>
      <w:r w:rsidR="00EF25B9">
        <w:rPr>
          <w:rFonts w:cs="Arial"/>
          <w:szCs w:val="22"/>
        </w:rPr>
        <w:t>asked to</w:t>
      </w:r>
      <w:r>
        <w:rPr>
          <w:rFonts w:cs="Arial"/>
          <w:szCs w:val="22"/>
        </w:rPr>
        <w:t xml:space="preserve"> share </w:t>
      </w:r>
      <w:r w:rsidR="00EF25B9">
        <w:rPr>
          <w:rFonts w:cs="Arial"/>
          <w:szCs w:val="22"/>
        </w:rPr>
        <w:t>any additional suggestions or comments in an open format.</w:t>
      </w:r>
    </w:p>
    <w:p w14:paraId="47CAFCB7" w14:textId="77777777" w:rsidR="00E6415E" w:rsidRDefault="00E6415E" w:rsidP="0054250F">
      <w:pPr>
        <w:pBdr>
          <w:top w:val="single" w:sz="2" w:space="0" w:color="FFFFFF"/>
          <w:left w:val="single" w:sz="2" w:space="0" w:color="FFFFFF"/>
          <w:bottom w:val="single" w:sz="2" w:space="2" w:color="FFFFFF"/>
          <w:right w:val="single" w:sz="2" w:space="4" w:color="FFFFFF"/>
        </w:pBdr>
        <w:ind w:right="141"/>
        <w:jc w:val="left"/>
        <w:rPr>
          <w:rFonts w:cs="Arial"/>
          <w:color w:val="00B050"/>
          <w:szCs w:val="22"/>
        </w:rPr>
      </w:pPr>
    </w:p>
    <w:p w14:paraId="514DCDAC" w14:textId="7012D020" w:rsidR="00E6415E" w:rsidRPr="0054250F" w:rsidRDefault="00E6415E" w:rsidP="00E6415E">
      <w:pPr>
        <w:numPr>
          <w:ilvl w:val="0"/>
          <w:numId w:val="1"/>
        </w:numPr>
        <w:pBdr>
          <w:top w:val="single" w:sz="2" w:space="0" w:color="FFFFFF"/>
          <w:left w:val="single" w:sz="2" w:space="0" w:color="FFFFFF"/>
          <w:bottom w:val="single" w:sz="2" w:space="2" w:color="FFFFFF"/>
          <w:right w:val="single" w:sz="2" w:space="4" w:color="FFFFFF"/>
        </w:pBdr>
        <w:ind w:right="141"/>
        <w:jc w:val="left"/>
        <w:rPr>
          <w:rFonts w:cs="Arial"/>
          <w:color w:val="00B050"/>
          <w:sz w:val="28"/>
          <w:szCs w:val="24"/>
        </w:rPr>
      </w:pPr>
      <w:r w:rsidRPr="0054250F">
        <w:rPr>
          <w:rFonts w:cs="Arial"/>
          <w:szCs w:val="24"/>
        </w:rPr>
        <w:t xml:space="preserve">The </w:t>
      </w:r>
      <w:bookmarkStart w:id="1" w:name="_Hlk95653996"/>
      <w:r w:rsidRPr="0054250F">
        <w:rPr>
          <w:rFonts w:cs="Arial"/>
          <w:szCs w:val="24"/>
        </w:rPr>
        <w:t xml:space="preserve">consultation was publicised through a structured digital campaign which included </w:t>
      </w:r>
      <w:r w:rsidR="0054250F" w:rsidRPr="0054250F">
        <w:rPr>
          <w:rFonts w:cs="Arial"/>
          <w:szCs w:val="24"/>
        </w:rPr>
        <w:t xml:space="preserve">eight </w:t>
      </w:r>
      <w:r w:rsidRPr="0054250F">
        <w:rPr>
          <w:rFonts w:cs="Arial"/>
          <w:szCs w:val="24"/>
        </w:rPr>
        <w:t xml:space="preserve">posts on Facebook </w:t>
      </w:r>
      <w:r w:rsidR="0054250F" w:rsidRPr="0054250F">
        <w:rPr>
          <w:rFonts w:cs="Arial"/>
          <w:szCs w:val="24"/>
        </w:rPr>
        <w:t>which accrued 818 link clicks, 73,588 views, reached 65,018 accounts and had 5676 engagements (likes, comments or shares</w:t>
      </w:r>
      <w:bookmarkEnd w:id="1"/>
      <w:r w:rsidR="0054250F" w:rsidRPr="0054250F">
        <w:rPr>
          <w:rFonts w:cs="Arial"/>
          <w:szCs w:val="24"/>
        </w:rPr>
        <w:t>).</w:t>
      </w:r>
    </w:p>
    <w:p w14:paraId="30D82D7B" w14:textId="77777777" w:rsidR="00E6415E" w:rsidRPr="00793046" w:rsidRDefault="00E6415E" w:rsidP="00E6415E">
      <w:pPr>
        <w:pBdr>
          <w:top w:val="single" w:sz="2" w:space="0" w:color="FFFFFF"/>
          <w:left w:val="single" w:sz="2" w:space="0" w:color="FFFFFF"/>
          <w:bottom w:val="single" w:sz="2" w:space="2" w:color="FFFFFF"/>
          <w:right w:val="single" w:sz="2" w:space="4" w:color="FFFFFF"/>
        </w:pBdr>
        <w:ind w:right="141"/>
        <w:jc w:val="left"/>
        <w:rPr>
          <w:rFonts w:cs="Arial"/>
          <w:color w:val="00B050"/>
          <w:sz w:val="28"/>
          <w:szCs w:val="24"/>
        </w:rPr>
      </w:pPr>
    </w:p>
    <w:p w14:paraId="70559408" w14:textId="77777777" w:rsidR="00E6415E" w:rsidRDefault="00E6415E" w:rsidP="00E6415E">
      <w:pPr>
        <w:pBdr>
          <w:top w:val="single" w:sz="2" w:space="1" w:color="FFFFFF"/>
          <w:left w:val="single" w:sz="2" w:space="0" w:color="FFFFFF"/>
          <w:bottom w:val="single" w:sz="2" w:space="1" w:color="FFFFFF"/>
          <w:right w:val="single" w:sz="2" w:space="4" w:color="FFFFFF"/>
        </w:pBdr>
        <w:ind w:right="141"/>
        <w:jc w:val="left"/>
        <w:rPr>
          <w:rFonts w:cs="Arial"/>
          <w:b/>
          <w:bCs/>
          <w:szCs w:val="22"/>
        </w:rPr>
      </w:pPr>
      <w:r>
        <w:rPr>
          <w:rFonts w:cs="Arial"/>
          <w:b/>
          <w:bCs/>
          <w:szCs w:val="22"/>
        </w:rPr>
        <w:t>CONSULTATION FINDINGS</w:t>
      </w:r>
    </w:p>
    <w:p w14:paraId="1E1CFAA2" w14:textId="77777777" w:rsidR="00E6415E" w:rsidRDefault="00E6415E" w:rsidP="00E6415E">
      <w:pPr>
        <w:pBdr>
          <w:top w:val="single" w:sz="2" w:space="1" w:color="FFFFFF"/>
          <w:left w:val="single" w:sz="2" w:space="0" w:color="FFFFFF"/>
          <w:bottom w:val="single" w:sz="2" w:space="1" w:color="FFFFFF"/>
          <w:right w:val="single" w:sz="2" w:space="4" w:color="FFFFFF"/>
        </w:pBdr>
        <w:ind w:right="141"/>
        <w:jc w:val="left"/>
        <w:rPr>
          <w:rFonts w:cs="Arial"/>
          <w:b/>
          <w:bCs/>
          <w:szCs w:val="22"/>
        </w:rPr>
      </w:pPr>
    </w:p>
    <w:p w14:paraId="58C7D8EA" w14:textId="514ACAAA" w:rsidR="00E6415E" w:rsidRDefault="00E6415E" w:rsidP="00E6415E">
      <w:pPr>
        <w:pBdr>
          <w:top w:val="single" w:sz="2" w:space="1" w:color="FFFFFF"/>
          <w:left w:val="single" w:sz="2" w:space="0" w:color="FFFFFF"/>
          <w:bottom w:val="single" w:sz="2" w:space="1" w:color="FFFFFF"/>
          <w:right w:val="single" w:sz="2" w:space="4" w:color="FFFFFF"/>
        </w:pBdr>
        <w:ind w:right="141"/>
        <w:jc w:val="left"/>
        <w:rPr>
          <w:rFonts w:cs="Arial"/>
          <w:b/>
          <w:bCs/>
          <w:szCs w:val="22"/>
        </w:rPr>
      </w:pPr>
      <w:r>
        <w:rPr>
          <w:rFonts w:cs="Arial"/>
          <w:b/>
          <w:bCs/>
          <w:szCs w:val="22"/>
        </w:rPr>
        <w:t>Overview</w:t>
      </w:r>
    </w:p>
    <w:p w14:paraId="3D4DCA6D" w14:textId="6C5B9C4D" w:rsidR="00EF25B9" w:rsidRDefault="00EF25B9" w:rsidP="00E6415E">
      <w:pPr>
        <w:pBdr>
          <w:top w:val="single" w:sz="2" w:space="1" w:color="FFFFFF"/>
          <w:left w:val="single" w:sz="2" w:space="0" w:color="FFFFFF"/>
          <w:bottom w:val="single" w:sz="2" w:space="1" w:color="FFFFFF"/>
          <w:right w:val="single" w:sz="2" w:space="4" w:color="FFFFFF"/>
        </w:pBdr>
        <w:ind w:right="141"/>
        <w:jc w:val="left"/>
        <w:rPr>
          <w:rFonts w:cs="Arial"/>
          <w:b/>
          <w:bCs/>
          <w:szCs w:val="22"/>
        </w:rPr>
      </w:pPr>
    </w:p>
    <w:p w14:paraId="1188149C" w14:textId="28D3D40C" w:rsidR="00EF25B9" w:rsidRPr="00EF25B9" w:rsidRDefault="00EF25B9" w:rsidP="00EF25B9">
      <w:pPr>
        <w:pStyle w:val="ListParagraph"/>
        <w:numPr>
          <w:ilvl w:val="0"/>
          <w:numId w:val="1"/>
        </w:numPr>
        <w:pBdr>
          <w:top w:val="single" w:sz="2" w:space="1" w:color="FFFFFF"/>
          <w:left w:val="single" w:sz="2" w:space="0" w:color="FFFFFF"/>
          <w:bottom w:val="single" w:sz="2" w:space="1" w:color="FFFFFF"/>
          <w:right w:val="single" w:sz="2" w:space="4" w:color="FFFFFF"/>
        </w:pBdr>
        <w:ind w:right="141"/>
        <w:jc w:val="left"/>
        <w:rPr>
          <w:rFonts w:cs="Arial"/>
          <w:b/>
          <w:bCs/>
          <w:szCs w:val="22"/>
        </w:rPr>
      </w:pPr>
      <w:r>
        <w:rPr>
          <w:rFonts w:cs="Arial"/>
          <w:szCs w:val="22"/>
        </w:rPr>
        <w:t xml:space="preserve">There </w:t>
      </w:r>
      <w:bookmarkStart w:id="2" w:name="_Hlk95654068"/>
      <w:r>
        <w:rPr>
          <w:rFonts w:cs="Arial"/>
          <w:szCs w:val="22"/>
        </w:rPr>
        <w:t xml:space="preserve">were 220 responses received via the online survey, with 109 participants providing qualitative feedback through one open-ended question. Response levels have increased, compared to last year’s budget consultation survey, in which we received 105 </w:t>
      </w:r>
      <w:r w:rsidR="00741339">
        <w:rPr>
          <w:rFonts w:cs="Arial"/>
          <w:szCs w:val="22"/>
        </w:rPr>
        <w:t>responses</w:t>
      </w:r>
      <w:bookmarkEnd w:id="2"/>
      <w:r>
        <w:rPr>
          <w:rFonts w:cs="Arial"/>
          <w:szCs w:val="22"/>
        </w:rPr>
        <w:t xml:space="preserve">. </w:t>
      </w:r>
    </w:p>
    <w:p w14:paraId="18F951F1" w14:textId="77777777" w:rsidR="009117EC" w:rsidRPr="009117EC" w:rsidRDefault="009117EC" w:rsidP="009117EC">
      <w:pPr>
        <w:pBdr>
          <w:top w:val="single" w:sz="2" w:space="1" w:color="FFFFFF"/>
          <w:left w:val="single" w:sz="2" w:space="0" w:color="FFFFFF"/>
          <w:bottom w:val="single" w:sz="2" w:space="2" w:color="FFFFFF"/>
          <w:right w:val="single" w:sz="2" w:space="4" w:color="FFFFFF"/>
        </w:pBdr>
        <w:ind w:right="141"/>
        <w:jc w:val="left"/>
        <w:rPr>
          <w:rFonts w:cs="Arial"/>
          <w:szCs w:val="22"/>
        </w:rPr>
      </w:pPr>
    </w:p>
    <w:p w14:paraId="6CB54144" w14:textId="3149FC65" w:rsidR="00E6415E" w:rsidRDefault="0072611E" w:rsidP="00E6415E">
      <w:pPr>
        <w:rPr>
          <w:rFonts w:cs="Arial"/>
          <w:b/>
          <w:szCs w:val="22"/>
        </w:rPr>
      </w:pPr>
      <w:r>
        <w:rPr>
          <w:rFonts w:cs="Arial"/>
          <w:b/>
          <w:szCs w:val="22"/>
        </w:rPr>
        <w:t xml:space="preserve">Part 1: </w:t>
      </w:r>
      <w:r w:rsidR="00E6415E">
        <w:rPr>
          <w:rFonts w:cs="Arial"/>
          <w:b/>
          <w:szCs w:val="22"/>
        </w:rPr>
        <w:t xml:space="preserve">High Priority Areas </w:t>
      </w:r>
    </w:p>
    <w:p w14:paraId="0095C28F" w14:textId="77777777" w:rsidR="00E6415E" w:rsidRDefault="00E6415E" w:rsidP="00E6415E">
      <w:pPr>
        <w:rPr>
          <w:rFonts w:cs="Arial"/>
          <w:b/>
          <w:szCs w:val="22"/>
        </w:rPr>
      </w:pPr>
    </w:p>
    <w:p w14:paraId="7BA94ADB" w14:textId="101A5B7A" w:rsidR="00E6415E" w:rsidRPr="00FB3DC5" w:rsidRDefault="00FB3DC5" w:rsidP="00FB3DC5">
      <w:pPr>
        <w:numPr>
          <w:ilvl w:val="0"/>
          <w:numId w:val="1"/>
        </w:numPr>
        <w:pBdr>
          <w:top w:val="single" w:sz="2" w:space="1" w:color="FFFFFF"/>
          <w:left w:val="single" w:sz="2" w:space="0" w:color="FFFFFF"/>
          <w:bottom w:val="single" w:sz="2" w:space="2" w:color="FFFFFF"/>
          <w:right w:val="single" w:sz="2" w:space="4" w:color="FFFFFF"/>
        </w:pBdr>
        <w:ind w:right="141"/>
        <w:jc w:val="left"/>
        <w:rPr>
          <w:rFonts w:cs="Arial"/>
          <w:color w:val="00B050"/>
          <w:szCs w:val="22"/>
        </w:rPr>
      </w:pPr>
      <w:r>
        <w:rPr>
          <w:noProof/>
        </w:rPr>
        <w:drawing>
          <wp:anchor distT="0" distB="0" distL="114300" distR="114300" simplePos="0" relativeHeight="251658240" behindDoc="0" locked="0" layoutInCell="1" allowOverlap="1" wp14:anchorId="7FCD403D" wp14:editId="45BC6EEB">
            <wp:simplePos x="0" y="0"/>
            <wp:positionH relativeFrom="column">
              <wp:posOffset>-521308</wp:posOffset>
            </wp:positionH>
            <wp:positionV relativeFrom="paragraph">
              <wp:posOffset>778206</wp:posOffset>
            </wp:positionV>
            <wp:extent cx="7165075" cy="3056890"/>
            <wp:effectExtent l="0" t="0" r="17145" b="10160"/>
            <wp:wrapThrough wrapText="bothSides">
              <wp:wrapPolygon edited="0">
                <wp:start x="0" y="0"/>
                <wp:lineTo x="0" y="21537"/>
                <wp:lineTo x="21594" y="21537"/>
                <wp:lineTo x="21594"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E6415E" w:rsidRPr="001B7561">
        <w:rPr>
          <w:rFonts w:cs="Arial"/>
          <w:lang w:val="en-US"/>
        </w:rPr>
        <w:t xml:space="preserve">Participants </w:t>
      </w:r>
      <w:bookmarkStart w:id="3" w:name="_Hlk95654146"/>
      <w:r w:rsidR="00E6415E" w:rsidRPr="001B7561">
        <w:rPr>
          <w:rFonts w:cs="Arial"/>
          <w:lang w:val="en-US"/>
        </w:rPr>
        <w:t>were asked to rank on a scale of one (‘low priority’) to five (‘high priority’) what should be prioritised when allocating funding</w:t>
      </w:r>
      <w:bookmarkEnd w:id="3"/>
      <w:r w:rsidR="00E6415E" w:rsidRPr="001B7561">
        <w:rPr>
          <w:rFonts w:cs="Arial"/>
          <w:lang w:val="en-US"/>
        </w:rPr>
        <w:t xml:space="preserve">. </w:t>
      </w:r>
      <w:r w:rsidR="00E6415E">
        <w:rPr>
          <w:rFonts w:cs="Arial"/>
          <w:lang w:val="en-US"/>
        </w:rPr>
        <w:t xml:space="preserve">The chart below </w:t>
      </w:r>
      <w:r w:rsidR="00E6415E">
        <w:rPr>
          <w:rFonts w:cs="Arial"/>
          <w:lang w:val="en-US"/>
        </w:rPr>
        <w:lastRenderedPageBreak/>
        <w:t xml:space="preserve">presents the categories that were scored the highest priorities (four or five): </w:t>
      </w:r>
      <w:r>
        <w:rPr>
          <w:rFonts w:cs="Arial"/>
          <w:lang w:val="en-US"/>
        </w:rPr>
        <w:br/>
      </w:r>
    </w:p>
    <w:p w14:paraId="28A9B0FE" w14:textId="0223CDB6" w:rsidR="00E6415E" w:rsidRPr="00D27D6B" w:rsidRDefault="00E6415E" w:rsidP="00E6415E">
      <w:pPr>
        <w:pStyle w:val="ListParagraph"/>
        <w:numPr>
          <w:ilvl w:val="0"/>
          <w:numId w:val="1"/>
        </w:numPr>
        <w:spacing w:after="160" w:line="259" w:lineRule="auto"/>
        <w:jc w:val="left"/>
        <w:rPr>
          <w:color w:val="00B050"/>
          <w:szCs w:val="22"/>
        </w:rPr>
      </w:pPr>
      <w:r w:rsidRPr="00D27D6B">
        <w:rPr>
          <w:rFonts w:cs="Arial"/>
          <w:szCs w:val="24"/>
          <w:lang w:val="en-US"/>
        </w:rPr>
        <w:t xml:space="preserve">The highest priority scored by participants was </w:t>
      </w:r>
      <w:proofErr w:type="gramStart"/>
      <w:r w:rsidR="00FB3DC5" w:rsidRPr="00D27D6B">
        <w:rPr>
          <w:rFonts w:cs="Arial"/>
          <w:szCs w:val="24"/>
          <w:lang w:val="en-US"/>
        </w:rPr>
        <w:t>work</w:t>
      </w:r>
      <w:proofErr w:type="gramEnd"/>
      <w:r w:rsidR="00FB3DC5" w:rsidRPr="00D27D6B">
        <w:rPr>
          <w:rFonts w:cs="Arial"/>
          <w:szCs w:val="24"/>
          <w:lang w:val="en-US"/>
        </w:rPr>
        <w:t xml:space="preserve"> to </w:t>
      </w:r>
      <w:r w:rsidR="00270414">
        <w:rPr>
          <w:rFonts w:cs="Arial"/>
          <w:szCs w:val="24"/>
          <w:lang w:val="en-US"/>
        </w:rPr>
        <w:t>target fly-tipping</w:t>
      </w:r>
      <w:r w:rsidR="00FB3DC5" w:rsidRPr="00D27D6B">
        <w:rPr>
          <w:rFonts w:cs="Arial"/>
          <w:szCs w:val="24"/>
          <w:lang w:val="en-US"/>
        </w:rPr>
        <w:t xml:space="preserve"> and environmental issues </w:t>
      </w:r>
      <w:r w:rsidRPr="00D27D6B">
        <w:rPr>
          <w:rFonts w:cs="Arial"/>
          <w:szCs w:val="24"/>
          <w:lang w:val="en-US"/>
        </w:rPr>
        <w:t>(7</w:t>
      </w:r>
      <w:r w:rsidR="00EF25B9">
        <w:rPr>
          <w:rFonts w:cs="Arial"/>
          <w:szCs w:val="24"/>
          <w:lang w:val="en-US"/>
        </w:rPr>
        <w:t>8.9</w:t>
      </w:r>
      <w:r w:rsidRPr="00D27D6B">
        <w:rPr>
          <w:rFonts w:cs="Arial"/>
          <w:szCs w:val="24"/>
          <w:lang w:val="en-US"/>
        </w:rPr>
        <w:t xml:space="preserve">%). </w:t>
      </w:r>
      <w:r w:rsidRPr="00D27D6B">
        <w:rPr>
          <w:lang w:val="en-US"/>
        </w:rPr>
        <w:t xml:space="preserve">The second highest priority identified by participants was </w:t>
      </w:r>
      <w:r w:rsidR="00FB3DC5" w:rsidRPr="00D27D6B">
        <w:rPr>
          <w:lang w:val="en-US"/>
        </w:rPr>
        <w:t>taking steps to retain wealth within the borough through local job creation (72</w:t>
      </w:r>
      <w:r w:rsidR="00EF25B9">
        <w:rPr>
          <w:lang w:val="en-US"/>
        </w:rPr>
        <w:t>.2</w:t>
      </w:r>
      <w:r w:rsidR="00FB3DC5" w:rsidRPr="00D27D6B">
        <w:rPr>
          <w:lang w:val="en-US"/>
        </w:rPr>
        <w:t>%)</w:t>
      </w:r>
      <w:r w:rsidR="0070213B" w:rsidRPr="00D27D6B">
        <w:rPr>
          <w:lang w:val="en-US"/>
        </w:rPr>
        <w:t>. The latter was also highly prioritised in the budget consultation for 2021/22.</w:t>
      </w:r>
    </w:p>
    <w:p w14:paraId="10F7B673" w14:textId="32A663A6" w:rsidR="00E6415E" w:rsidRDefault="00E6415E" w:rsidP="00E6415E">
      <w:pPr>
        <w:pStyle w:val="ListParagraph"/>
        <w:rPr>
          <w:rFonts w:cs="Arial"/>
          <w:color w:val="00B050"/>
          <w:szCs w:val="22"/>
        </w:rPr>
      </w:pPr>
    </w:p>
    <w:p w14:paraId="0A1F19C5" w14:textId="0837DD97" w:rsidR="00E6415E" w:rsidRPr="00D27D6B" w:rsidRDefault="000F7478" w:rsidP="00E6415E">
      <w:pPr>
        <w:pStyle w:val="ListParagraph"/>
        <w:numPr>
          <w:ilvl w:val="0"/>
          <w:numId w:val="1"/>
        </w:numPr>
        <w:spacing w:after="160" w:line="259" w:lineRule="auto"/>
        <w:jc w:val="left"/>
      </w:pPr>
      <w:r w:rsidRPr="00D27D6B">
        <w:rPr>
          <w:rFonts w:cs="Arial"/>
          <w:szCs w:val="24"/>
          <w:lang w:val="en-US"/>
        </w:rPr>
        <w:t>Supporting communities and community facilities to thrive through the community hub boost fund</w:t>
      </w:r>
      <w:r w:rsidR="0070213B" w:rsidRPr="00D27D6B">
        <w:rPr>
          <w:rFonts w:cs="Arial"/>
          <w:szCs w:val="24"/>
          <w:lang w:val="en-US"/>
        </w:rPr>
        <w:t xml:space="preserve"> (62.8%)</w:t>
      </w:r>
      <w:r w:rsidRPr="00D27D6B">
        <w:rPr>
          <w:rFonts w:cs="Arial"/>
          <w:szCs w:val="24"/>
          <w:lang w:val="en-US"/>
        </w:rPr>
        <w:t xml:space="preserve">, </w:t>
      </w:r>
      <w:r w:rsidR="0070213B" w:rsidRPr="00D27D6B">
        <w:rPr>
          <w:rFonts w:cs="Arial"/>
          <w:szCs w:val="24"/>
          <w:lang w:val="en-US"/>
        </w:rPr>
        <w:t xml:space="preserve">delivering excelling leisure services and running leisure </w:t>
      </w:r>
      <w:proofErr w:type="spellStart"/>
      <w:r w:rsidR="0070213B" w:rsidRPr="00D27D6B">
        <w:rPr>
          <w:rFonts w:cs="Arial"/>
          <w:szCs w:val="24"/>
          <w:lang w:val="en-US"/>
        </w:rPr>
        <w:t>centres</w:t>
      </w:r>
      <w:proofErr w:type="spellEnd"/>
      <w:r w:rsidR="0070213B" w:rsidRPr="00D27D6B">
        <w:rPr>
          <w:rFonts w:cs="Arial"/>
          <w:szCs w:val="24"/>
          <w:lang w:val="en-US"/>
        </w:rPr>
        <w:t xml:space="preserve"> efficiently (68.</w:t>
      </w:r>
      <w:r w:rsidR="00EF25B9">
        <w:rPr>
          <w:rFonts w:cs="Arial"/>
          <w:szCs w:val="24"/>
          <w:lang w:val="en-US"/>
        </w:rPr>
        <w:t>5</w:t>
      </w:r>
      <w:r w:rsidR="0070213B" w:rsidRPr="00D27D6B">
        <w:rPr>
          <w:rFonts w:cs="Arial"/>
          <w:szCs w:val="24"/>
          <w:lang w:val="en-US"/>
        </w:rPr>
        <w:t>%) and improvement to play areas (68.</w:t>
      </w:r>
      <w:r w:rsidR="00EF25B9">
        <w:rPr>
          <w:rFonts w:cs="Arial"/>
          <w:szCs w:val="24"/>
          <w:lang w:val="en-US"/>
        </w:rPr>
        <w:t>6</w:t>
      </w:r>
      <w:r w:rsidR="0070213B" w:rsidRPr="00D27D6B">
        <w:rPr>
          <w:rFonts w:cs="Arial"/>
          <w:szCs w:val="24"/>
          <w:lang w:val="en-US"/>
        </w:rPr>
        <w:t>%) were also highly prioritised.</w:t>
      </w:r>
    </w:p>
    <w:p w14:paraId="1418B0C7" w14:textId="60C7D746" w:rsidR="00B15ABD" w:rsidRPr="0070213B" w:rsidRDefault="00472ED1" w:rsidP="00B15ABD">
      <w:pPr>
        <w:numPr>
          <w:ilvl w:val="0"/>
          <w:numId w:val="1"/>
        </w:numPr>
        <w:pBdr>
          <w:top w:val="single" w:sz="2" w:space="1" w:color="FFFFFF"/>
          <w:left w:val="single" w:sz="2" w:space="0" w:color="FFFFFF"/>
          <w:bottom w:val="single" w:sz="2" w:space="2" w:color="FFFFFF"/>
          <w:right w:val="single" w:sz="2" w:space="4" w:color="FFFFFF"/>
        </w:pBdr>
        <w:ind w:right="141"/>
        <w:jc w:val="left"/>
        <w:rPr>
          <w:rFonts w:cs="Arial"/>
          <w:szCs w:val="22"/>
        </w:rPr>
      </w:pPr>
      <w:r>
        <w:rPr>
          <w:noProof/>
        </w:rPr>
        <w:drawing>
          <wp:anchor distT="0" distB="0" distL="114300" distR="114300" simplePos="0" relativeHeight="251659264" behindDoc="0" locked="0" layoutInCell="1" allowOverlap="1" wp14:anchorId="5A8BC33C" wp14:editId="00793F14">
            <wp:simplePos x="0" y="0"/>
            <wp:positionH relativeFrom="column">
              <wp:posOffset>-132300</wp:posOffset>
            </wp:positionH>
            <wp:positionV relativeFrom="paragraph">
              <wp:posOffset>493616</wp:posOffset>
            </wp:positionV>
            <wp:extent cx="6120765" cy="2748915"/>
            <wp:effectExtent l="0" t="0" r="13335" b="13335"/>
            <wp:wrapThrough wrapText="bothSides">
              <wp:wrapPolygon edited="0">
                <wp:start x="0" y="0"/>
                <wp:lineTo x="0" y="21555"/>
                <wp:lineTo x="21580" y="21555"/>
                <wp:lineTo x="21580"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E6415E">
        <w:rPr>
          <w:rFonts w:cs="Arial"/>
          <w:szCs w:val="22"/>
        </w:rPr>
        <w:t>The categories</w:t>
      </w:r>
      <w:r w:rsidR="00E6415E" w:rsidRPr="00E739EC">
        <w:rPr>
          <w:rFonts w:cs="Arial"/>
          <w:szCs w:val="22"/>
        </w:rPr>
        <w:t xml:space="preserve"> that were scored the lowest priorities (one or two), are presented in the chart below: </w:t>
      </w:r>
      <w:r w:rsidR="00FB3DC5">
        <w:rPr>
          <w:rFonts w:cs="Arial"/>
          <w:szCs w:val="22"/>
        </w:rPr>
        <w:br/>
      </w:r>
    </w:p>
    <w:p w14:paraId="6A7E97BB" w14:textId="7D73834F" w:rsidR="00E6415E" w:rsidRPr="00D27D6B" w:rsidRDefault="000D231E" w:rsidP="00E6415E">
      <w:pPr>
        <w:numPr>
          <w:ilvl w:val="0"/>
          <w:numId w:val="1"/>
        </w:numPr>
        <w:pBdr>
          <w:top w:val="single" w:sz="2" w:space="1" w:color="FFFFFF"/>
          <w:left w:val="single" w:sz="2" w:space="0" w:color="FFFFFF"/>
          <w:bottom w:val="single" w:sz="2" w:space="0" w:color="FFFFFF"/>
          <w:right w:val="single" w:sz="2" w:space="4" w:color="FFFFFF"/>
        </w:pBdr>
        <w:ind w:right="141"/>
        <w:jc w:val="left"/>
        <w:rPr>
          <w:rFonts w:cs="Arial"/>
          <w:color w:val="00B050"/>
          <w:szCs w:val="24"/>
        </w:rPr>
      </w:pPr>
      <w:r>
        <w:rPr>
          <w:rFonts w:cs="Arial"/>
          <w:szCs w:val="24"/>
          <w:lang w:val="en-US"/>
        </w:rPr>
        <w:t xml:space="preserve">The priority that was scored lowest was the development of affordable homes with 36.4% ranking this as low priority. </w:t>
      </w:r>
      <w:r w:rsidR="00E6415E" w:rsidRPr="00D27D6B">
        <w:rPr>
          <w:rFonts w:cs="Arial"/>
          <w:szCs w:val="24"/>
          <w:lang w:val="en-US"/>
        </w:rPr>
        <w:t>The area that was scored as the lowest priority</w:t>
      </w:r>
      <w:r>
        <w:rPr>
          <w:rFonts w:cs="Arial"/>
          <w:szCs w:val="24"/>
          <w:lang w:val="en-US"/>
        </w:rPr>
        <w:t xml:space="preserve"> overall </w:t>
      </w:r>
      <w:r w:rsidR="00E6415E" w:rsidRPr="00D27D6B">
        <w:rPr>
          <w:rFonts w:cs="Arial"/>
          <w:szCs w:val="24"/>
          <w:lang w:val="en-US"/>
        </w:rPr>
        <w:t xml:space="preserve">was </w:t>
      </w:r>
      <w:r w:rsidR="00C0135D" w:rsidRPr="00D27D6B">
        <w:rPr>
          <w:rFonts w:cs="Arial"/>
          <w:szCs w:val="24"/>
          <w:lang w:val="en-US"/>
        </w:rPr>
        <w:t xml:space="preserve">improving Leyland town </w:t>
      </w:r>
      <w:proofErr w:type="spellStart"/>
      <w:r w:rsidR="00C0135D" w:rsidRPr="00D27D6B">
        <w:rPr>
          <w:rFonts w:cs="Arial"/>
          <w:szCs w:val="24"/>
          <w:lang w:val="en-US"/>
        </w:rPr>
        <w:t>centre</w:t>
      </w:r>
      <w:proofErr w:type="spellEnd"/>
      <w:r w:rsidR="00C0135D" w:rsidRPr="00D27D6B">
        <w:rPr>
          <w:rFonts w:cs="Arial"/>
          <w:szCs w:val="24"/>
          <w:lang w:val="en-US"/>
        </w:rPr>
        <w:t xml:space="preserve"> including delivering the Leyland town deal</w:t>
      </w:r>
      <w:r w:rsidR="00E6415E" w:rsidRPr="00D27D6B">
        <w:rPr>
          <w:rFonts w:cs="Arial"/>
          <w:szCs w:val="24"/>
          <w:lang w:val="en-US"/>
        </w:rPr>
        <w:t>, with</w:t>
      </w:r>
      <w:r w:rsidR="00C0135D" w:rsidRPr="00D27D6B">
        <w:rPr>
          <w:rFonts w:cs="Arial"/>
          <w:szCs w:val="24"/>
          <w:lang w:val="en-US"/>
        </w:rPr>
        <w:t xml:space="preserve"> 35.2%</w:t>
      </w:r>
      <w:r w:rsidR="00E6415E" w:rsidRPr="00D27D6B">
        <w:rPr>
          <w:rFonts w:cs="Arial"/>
          <w:szCs w:val="24"/>
          <w:lang w:val="en-US"/>
        </w:rPr>
        <w:t xml:space="preserve"> participants scoring it as low priority </w:t>
      </w:r>
      <w:r w:rsidRPr="00D27D6B">
        <w:rPr>
          <w:rFonts w:cs="Arial"/>
          <w:szCs w:val="24"/>
          <w:lang w:val="en-US"/>
        </w:rPr>
        <w:t>and 36.1</w:t>
      </w:r>
      <w:r w:rsidR="00C0135D" w:rsidRPr="00D27D6B">
        <w:rPr>
          <w:rFonts w:cs="Arial"/>
          <w:szCs w:val="24"/>
          <w:lang w:val="en-US"/>
        </w:rPr>
        <w:t xml:space="preserve">% </w:t>
      </w:r>
      <w:r w:rsidR="00E6415E" w:rsidRPr="00D27D6B">
        <w:rPr>
          <w:rFonts w:cs="Arial"/>
          <w:szCs w:val="24"/>
          <w:lang w:val="en-US"/>
        </w:rPr>
        <w:t xml:space="preserve">scoring it as high priority. </w:t>
      </w:r>
    </w:p>
    <w:p w14:paraId="158FC664" w14:textId="2093400C" w:rsidR="00E6415E" w:rsidRPr="00D9340A" w:rsidRDefault="00E6415E" w:rsidP="00D27D6B">
      <w:pPr>
        <w:pBdr>
          <w:top w:val="single" w:sz="2" w:space="0" w:color="FFFFFF"/>
          <w:left w:val="single" w:sz="2" w:space="0" w:color="FFFFFF"/>
          <w:bottom w:val="single" w:sz="2" w:space="0" w:color="FFFFFF"/>
          <w:right w:val="single" w:sz="2" w:space="4" w:color="FFFFFF"/>
        </w:pBdr>
        <w:ind w:left="567" w:right="141"/>
        <w:jc w:val="left"/>
        <w:rPr>
          <w:rFonts w:cs="Arial"/>
          <w:color w:val="00B050"/>
          <w:szCs w:val="24"/>
        </w:rPr>
      </w:pPr>
      <w:r w:rsidRPr="00DA066F">
        <w:rPr>
          <w:rFonts w:cs="Arial"/>
          <w:szCs w:val="24"/>
          <w:lang w:val="en-US"/>
        </w:rPr>
        <w:t xml:space="preserve"> </w:t>
      </w:r>
    </w:p>
    <w:p w14:paraId="47BA9B8E" w14:textId="6EF6D12A" w:rsidR="00E6415E" w:rsidRPr="00741339" w:rsidRDefault="00E6415E" w:rsidP="00E6415E">
      <w:pPr>
        <w:numPr>
          <w:ilvl w:val="0"/>
          <w:numId w:val="1"/>
        </w:numPr>
        <w:pBdr>
          <w:top w:val="single" w:sz="2" w:space="1" w:color="FFFFFF"/>
          <w:left w:val="single" w:sz="2" w:space="0" w:color="FFFFFF"/>
          <w:bottom w:val="single" w:sz="2" w:space="0" w:color="FFFFFF"/>
          <w:right w:val="single" w:sz="2" w:space="4" w:color="FFFFFF"/>
        </w:pBdr>
        <w:ind w:right="141"/>
        <w:jc w:val="left"/>
        <w:rPr>
          <w:rFonts w:cs="Arial"/>
          <w:szCs w:val="24"/>
          <w:lang w:val="en-US"/>
        </w:rPr>
      </w:pPr>
      <w:r>
        <w:rPr>
          <w:rFonts w:cs="Arial"/>
          <w:szCs w:val="24"/>
          <w:lang w:val="en-US"/>
        </w:rPr>
        <w:t xml:space="preserve">For a detailed outline of the scoring of each priority area, see Appendix A. </w:t>
      </w:r>
    </w:p>
    <w:p w14:paraId="44AE6F83" w14:textId="77777777" w:rsidR="00741339" w:rsidRDefault="00741339" w:rsidP="00741339">
      <w:pPr>
        <w:pBdr>
          <w:top w:val="single" w:sz="2" w:space="1" w:color="FFFFFF"/>
          <w:left w:val="single" w:sz="2" w:space="0" w:color="FFFFFF"/>
          <w:bottom w:val="single" w:sz="2" w:space="0" w:color="FFFFFF"/>
          <w:right w:val="single" w:sz="2" w:space="4" w:color="FFFFFF"/>
        </w:pBdr>
        <w:ind w:right="141"/>
        <w:jc w:val="left"/>
        <w:rPr>
          <w:rFonts w:cs="Arial"/>
          <w:b/>
          <w:bCs/>
          <w:szCs w:val="24"/>
        </w:rPr>
      </w:pPr>
    </w:p>
    <w:p w14:paraId="0DC3261B" w14:textId="50255EB0" w:rsidR="0072611E" w:rsidRPr="00741339" w:rsidRDefault="0072611E" w:rsidP="00741339">
      <w:pPr>
        <w:pBdr>
          <w:top w:val="single" w:sz="2" w:space="1" w:color="FFFFFF"/>
          <w:left w:val="single" w:sz="2" w:space="0" w:color="FFFFFF"/>
          <w:bottom w:val="single" w:sz="2" w:space="0" w:color="FFFFFF"/>
          <w:right w:val="single" w:sz="2" w:space="4" w:color="FFFFFF"/>
        </w:pBdr>
        <w:ind w:right="141"/>
        <w:jc w:val="left"/>
        <w:rPr>
          <w:rFonts w:cs="Arial"/>
          <w:b/>
          <w:bCs/>
          <w:szCs w:val="24"/>
        </w:rPr>
      </w:pPr>
      <w:r w:rsidRPr="00741339">
        <w:rPr>
          <w:rFonts w:cs="Arial"/>
          <w:b/>
          <w:bCs/>
          <w:szCs w:val="24"/>
        </w:rPr>
        <w:t xml:space="preserve">Part 2: Council Tax </w:t>
      </w:r>
    </w:p>
    <w:p w14:paraId="2E9FF7A1" w14:textId="77777777" w:rsidR="0004545D" w:rsidRPr="0004545D" w:rsidRDefault="0004545D" w:rsidP="0004545D">
      <w:pPr>
        <w:pBdr>
          <w:top w:val="single" w:sz="2" w:space="1" w:color="FFFFFF"/>
          <w:left w:val="single" w:sz="2" w:space="0" w:color="FFFFFF"/>
          <w:bottom w:val="single" w:sz="2" w:space="0" w:color="FFFFFF"/>
          <w:right w:val="single" w:sz="2" w:space="4" w:color="FFFFFF"/>
        </w:pBdr>
        <w:ind w:left="567" w:right="141"/>
        <w:jc w:val="left"/>
        <w:rPr>
          <w:rFonts w:cs="Arial"/>
          <w:color w:val="00B050"/>
          <w:szCs w:val="24"/>
        </w:rPr>
      </w:pPr>
    </w:p>
    <w:p w14:paraId="3F66B62A" w14:textId="0B9B99D1" w:rsidR="008D5392" w:rsidRPr="00C0135D" w:rsidRDefault="0004545D" w:rsidP="008D5392">
      <w:pPr>
        <w:numPr>
          <w:ilvl w:val="0"/>
          <w:numId w:val="1"/>
        </w:numPr>
        <w:pBdr>
          <w:top w:val="single" w:sz="2" w:space="1" w:color="FFFFFF"/>
          <w:left w:val="single" w:sz="2" w:space="0" w:color="FFFFFF"/>
          <w:bottom w:val="single" w:sz="2" w:space="0" w:color="FFFFFF"/>
          <w:right w:val="single" w:sz="2" w:space="4" w:color="FFFFFF"/>
        </w:pBdr>
        <w:ind w:right="141"/>
        <w:jc w:val="left"/>
        <w:rPr>
          <w:rFonts w:cs="Arial"/>
          <w:color w:val="00B050"/>
          <w:szCs w:val="24"/>
        </w:rPr>
      </w:pPr>
      <w:r w:rsidRPr="00C0135D">
        <w:rPr>
          <w:rFonts w:cs="Arial"/>
          <w:szCs w:val="24"/>
        </w:rPr>
        <w:t xml:space="preserve">Respondents were asked whether they agree with a Council Tax increase in line with inflation. The results showed </w:t>
      </w:r>
      <w:r w:rsidR="000D12EF" w:rsidRPr="00C0135D">
        <w:rPr>
          <w:rFonts w:cs="Arial"/>
          <w:szCs w:val="24"/>
        </w:rPr>
        <w:t xml:space="preserve">a </w:t>
      </w:r>
      <w:r w:rsidR="00FB3DC5" w:rsidRPr="00C0135D">
        <w:rPr>
          <w:rFonts w:cs="Arial"/>
          <w:szCs w:val="24"/>
        </w:rPr>
        <w:t>marginal disagreement</w:t>
      </w:r>
      <w:r w:rsidR="005A2B2F" w:rsidRPr="00C0135D">
        <w:rPr>
          <w:rFonts w:cs="Arial"/>
          <w:szCs w:val="24"/>
        </w:rPr>
        <w:t>.</w:t>
      </w:r>
      <w:r w:rsidR="00FB3DC5" w:rsidRPr="00C0135D">
        <w:rPr>
          <w:rFonts w:cs="Arial"/>
          <w:szCs w:val="24"/>
        </w:rPr>
        <w:t xml:space="preserve"> Open responses </w:t>
      </w:r>
      <w:r w:rsidR="00C0135D">
        <w:rPr>
          <w:rFonts w:cs="Arial"/>
          <w:szCs w:val="24"/>
        </w:rPr>
        <w:t xml:space="preserve">reflected the results of this, with </w:t>
      </w:r>
      <w:r w:rsidR="00741339">
        <w:rPr>
          <w:rFonts w:cs="Arial"/>
          <w:szCs w:val="24"/>
        </w:rPr>
        <w:t>residents’</w:t>
      </w:r>
      <w:r w:rsidR="00A34C7B">
        <w:rPr>
          <w:rFonts w:cs="Arial"/>
          <w:szCs w:val="24"/>
        </w:rPr>
        <w:t xml:space="preserve"> </w:t>
      </w:r>
      <w:r w:rsidR="00741339">
        <w:rPr>
          <w:rFonts w:cs="Arial"/>
          <w:szCs w:val="24"/>
        </w:rPr>
        <w:t>concerns primarily</w:t>
      </w:r>
      <w:r w:rsidR="00A34C7B">
        <w:rPr>
          <w:rFonts w:cs="Arial"/>
          <w:szCs w:val="24"/>
        </w:rPr>
        <w:t xml:space="preserve"> being the</w:t>
      </w:r>
      <w:r w:rsidR="00C0135D">
        <w:rPr>
          <w:rFonts w:cs="Arial"/>
          <w:szCs w:val="24"/>
        </w:rPr>
        <w:t xml:space="preserve"> current economic climate</w:t>
      </w:r>
      <w:r w:rsidR="00A34C7B">
        <w:rPr>
          <w:rFonts w:cs="Arial"/>
          <w:szCs w:val="24"/>
        </w:rPr>
        <w:t xml:space="preserve"> and the impact of what an increase would have in this climate</w:t>
      </w:r>
      <w:r w:rsidR="00C0135D">
        <w:rPr>
          <w:rFonts w:cs="Arial"/>
          <w:szCs w:val="24"/>
        </w:rPr>
        <w:t>.</w:t>
      </w:r>
    </w:p>
    <w:p w14:paraId="6926FB3E" w14:textId="77777777" w:rsidR="008D5392" w:rsidRDefault="008D5392" w:rsidP="008D5392">
      <w:pPr>
        <w:pBdr>
          <w:top w:val="single" w:sz="2" w:space="1" w:color="FFFFFF"/>
          <w:left w:val="single" w:sz="2" w:space="0" w:color="FFFFFF"/>
          <w:bottom w:val="single" w:sz="2" w:space="0" w:color="FFFFFF"/>
          <w:right w:val="single" w:sz="2" w:space="4" w:color="FFFFFF"/>
        </w:pBdr>
        <w:ind w:left="567" w:right="141"/>
        <w:jc w:val="left"/>
        <w:rPr>
          <w:rFonts w:cs="Arial"/>
          <w:color w:val="00B050"/>
          <w:szCs w:val="24"/>
        </w:rPr>
      </w:pPr>
    </w:p>
    <w:tbl>
      <w:tblPr>
        <w:tblStyle w:val="TableGrid"/>
        <w:tblW w:w="0" w:type="auto"/>
        <w:tblInd w:w="2935" w:type="dxa"/>
        <w:tblLook w:val="04A0" w:firstRow="1" w:lastRow="0" w:firstColumn="1" w:lastColumn="0" w:noHBand="0" w:noVBand="1"/>
      </w:tblPr>
      <w:tblGrid>
        <w:gridCol w:w="1877"/>
        <w:gridCol w:w="1879"/>
      </w:tblGrid>
      <w:tr w:rsidR="008D5392" w14:paraId="36017D4E" w14:textId="77777777" w:rsidTr="008D5392">
        <w:trPr>
          <w:trHeight w:val="303"/>
        </w:trPr>
        <w:tc>
          <w:tcPr>
            <w:tcW w:w="1877" w:type="dxa"/>
          </w:tcPr>
          <w:p w14:paraId="00AB8C38" w14:textId="634E2A5E" w:rsidR="008D5392" w:rsidRPr="008D5392" w:rsidRDefault="008D5392" w:rsidP="008D5392">
            <w:pPr>
              <w:ind w:right="141"/>
              <w:jc w:val="left"/>
              <w:rPr>
                <w:rFonts w:cs="Arial"/>
                <w:b/>
                <w:bCs/>
                <w:szCs w:val="24"/>
              </w:rPr>
            </w:pPr>
            <w:r>
              <w:rPr>
                <w:rFonts w:cs="Arial"/>
                <w:b/>
                <w:bCs/>
                <w:szCs w:val="24"/>
              </w:rPr>
              <w:t>Response</w:t>
            </w:r>
          </w:p>
        </w:tc>
        <w:tc>
          <w:tcPr>
            <w:tcW w:w="1879" w:type="dxa"/>
          </w:tcPr>
          <w:p w14:paraId="502EFF35" w14:textId="658D5C6B" w:rsidR="008D5392" w:rsidRPr="00857DD0" w:rsidRDefault="008D5392" w:rsidP="008D5392">
            <w:pPr>
              <w:ind w:right="141"/>
              <w:jc w:val="left"/>
              <w:rPr>
                <w:rFonts w:cs="Arial"/>
                <w:b/>
                <w:bCs/>
                <w:szCs w:val="24"/>
              </w:rPr>
            </w:pPr>
            <w:r w:rsidRPr="00857DD0">
              <w:rPr>
                <w:rFonts w:cs="Arial"/>
                <w:b/>
                <w:bCs/>
                <w:szCs w:val="24"/>
              </w:rPr>
              <w:t>%</w:t>
            </w:r>
          </w:p>
        </w:tc>
      </w:tr>
      <w:tr w:rsidR="008D5392" w14:paraId="65980493" w14:textId="77777777" w:rsidTr="008D5392">
        <w:trPr>
          <w:trHeight w:val="303"/>
        </w:trPr>
        <w:tc>
          <w:tcPr>
            <w:tcW w:w="1877" w:type="dxa"/>
          </w:tcPr>
          <w:p w14:paraId="7230F199" w14:textId="748CF3BB" w:rsidR="008D5392" w:rsidRPr="008D5392" w:rsidRDefault="008D5392" w:rsidP="008D5392">
            <w:pPr>
              <w:ind w:right="141"/>
              <w:jc w:val="left"/>
              <w:rPr>
                <w:rFonts w:cs="Arial"/>
                <w:szCs w:val="24"/>
              </w:rPr>
            </w:pPr>
            <w:r>
              <w:rPr>
                <w:rFonts w:cs="Arial"/>
                <w:szCs w:val="24"/>
              </w:rPr>
              <w:t>Agree</w:t>
            </w:r>
          </w:p>
        </w:tc>
        <w:tc>
          <w:tcPr>
            <w:tcW w:w="1879" w:type="dxa"/>
          </w:tcPr>
          <w:p w14:paraId="5AB179BC" w14:textId="083BF32D" w:rsidR="008D5392" w:rsidRPr="008D5392" w:rsidRDefault="00BA64FB" w:rsidP="008D5392">
            <w:pPr>
              <w:ind w:right="141"/>
              <w:jc w:val="left"/>
              <w:rPr>
                <w:rFonts w:cs="Arial"/>
                <w:szCs w:val="24"/>
              </w:rPr>
            </w:pPr>
            <w:r>
              <w:rPr>
                <w:rFonts w:cs="Arial"/>
                <w:szCs w:val="24"/>
              </w:rPr>
              <w:t>4</w:t>
            </w:r>
            <w:r w:rsidR="000E358F">
              <w:rPr>
                <w:rFonts w:cs="Arial"/>
                <w:szCs w:val="24"/>
              </w:rPr>
              <w:t>6.7</w:t>
            </w:r>
            <w:r>
              <w:rPr>
                <w:rFonts w:cs="Arial"/>
                <w:szCs w:val="24"/>
              </w:rPr>
              <w:t>%</w:t>
            </w:r>
          </w:p>
        </w:tc>
      </w:tr>
      <w:tr w:rsidR="008D5392" w14:paraId="4FC0F4D5" w14:textId="77777777" w:rsidTr="008D5392">
        <w:trPr>
          <w:trHeight w:val="303"/>
        </w:trPr>
        <w:tc>
          <w:tcPr>
            <w:tcW w:w="1877" w:type="dxa"/>
          </w:tcPr>
          <w:p w14:paraId="13F46F18" w14:textId="0E137A40" w:rsidR="008D5392" w:rsidRPr="008D5392" w:rsidRDefault="008D5392" w:rsidP="008D5392">
            <w:pPr>
              <w:ind w:right="141"/>
              <w:jc w:val="left"/>
              <w:rPr>
                <w:rFonts w:cs="Arial"/>
                <w:szCs w:val="24"/>
              </w:rPr>
            </w:pPr>
            <w:r>
              <w:rPr>
                <w:rFonts w:cs="Arial"/>
                <w:szCs w:val="24"/>
              </w:rPr>
              <w:t>Disagree</w:t>
            </w:r>
          </w:p>
        </w:tc>
        <w:tc>
          <w:tcPr>
            <w:tcW w:w="1879" w:type="dxa"/>
          </w:tcPr>
          <w:p w14:paraId="2356B094" w14:textId="55838CCC" w:rsidR="008D5392" w:rsidRPr="008D5392" w:rsidRDefault="00BA64FB" w:rsidP="008D5392">
            <w:pPr>
              <w:ind w:right="141"/>
              <w:jc w:val="left"/>
              <w:rPr>
                <w:rFonts w:cs="Arial"/>
                <w:szCs w:val="24"/>
              </w:rPr>
            </w:pPr>
            <w:r>
              <w:rPr>
                <w:rFonts w:cs="Arial"/>
                <w:szCs w:val="24"/>
              </w:rPr>
              <w:t>5</w:t>
            </w:r>
            <w:r w:rsidR="000E358F">
              <w:rPr>
                <w:rFonts w:cs="Arial"/>
                <w:szCs w:val="24"/>
              </w:rPr>
              <w:t>3.2</w:t>
            </w:r>
            <w:r>
              <w:rPr>
                <w:rFonts w:cs="Arial"/>
                <w:szCs w:val="24"/>
              </w:rPr>
              <w:t>%</w:t>
            </w:r>
          </w:p>
        </w:tc>
      </w:tr>
    </w:tbl>
    <w:p w14:paraId="3F2ED6FF" w14:textId="72AC7592" w:rsidR="0004545D" w:rsidRPr="00DA066F" w:rsidRDefault="0004545D" w:rsidP="0004545D">
      <w:pPr>
        <w:pBdr>
          <w:top w:val="single" w:sz="2" w:space="1" w:color="FFFFFF"/>
          <w:left w:val="single" w:sz="2" w:space="0" w:color="FFFFFF"/>
          <w:bottom w:val="single" w:sz="2" w:space="0" w:color="FFFFFF"/>
          <w:right w:val="single" w:sz="2" w:space="4" w:color="FFFFFF"/>
        </w:pBdr>
        <w:ind w:right="141"/>
        <w:jc w:val="left"/>
        <w:rPr>
          <w:rFonts w:cs="Arial"/>
          <w:color w:val="00B050"/>
          <w:szCs w:val="24"/>
        </w:rPr>
      </w:pPr>
    </w:p>
    <w:p w14:paraId="5CEE7D63" w14:textId="1CDA1D13" w:rsidR="00E6415E" w:rsidRDefault="00E6415E" w:rsidP="00E6415E">
      <w:pPr>
        <w:rPr>
          <w:rFonts w:cs="Arial"/>
          <w:b/>
          <w:szCs w:val="22"/>
        </w:rPr>
      </w:pPr>
    </w:p>
    <w:p w14:paraId="444D20E5" w14:textId="00831BF6" w:rsidR="00E6415E" w:rsidRDefault="00A34C7B" w:rsidP="00E6415E">
      <w:pPr>
        <w:rPr>
          <w:rFonts w:cs="Arial"/>
          <w:b/>
          <w:szCs w:val="22"/>
        </w:rPr>
      </w:pPr>
      <w:r>
        <w:rPr>
          <w:rFonts w:cs="Arial"/>
          <w:b/>
          <w:szCs w:val="22"/>
        </w:rPr>
        <w:lastRenderedPageBreak/>
        <w:t>Part 3: Open</w:t>
      </w:r>
      <w:r w:rsidR="000D231E">
        <w:rPr>
          <w:rFonts w:cs="Arial"/>
          <w:b/>
          <w:szCs w:val="22"/>
        </w:rPr>
        <w:t>-</w:t>
      </w:r>
      <w:r>
        <w:rPr>
          <w:rFonts w:cs="Arial"/>
          <w:b/>
          <w:szCs w:val="22"/>
        </w:rPr>
        <w:t xml:space="preserve">ended </w:t>
      </w:r>
      <w:r w:rsidR="000D231E">
        <w:rPr>
          <w:rFonts w:cs="Arial"/>
          <w:b/>
          <w:szCs w:val="22"/>
        </w:rPr>
        <w:t>Q</w:t>
      </w:r>
      <w:r>
        <w:rPr>
          <w:rFonts w:cs="Arial"/>
          <w:b/>
          <w:szCs w:val="22"/>
        </w:rPr>
        <w:t xml:space="preserve">uestion </w:t>
      </w:r>
      <w:r w:rsidR="000D231E">
        <w:rPr>
          <w:rFonts w:cs="Arial"/>
          <w:b/>
          <w:szCs w:val="22"/>
        </w:rPr>
        <w:t>R</w:t>
      </w:r>
      <w:r>
        <w:rPr>
          <w:rFonts w:cs="Arial"/>
          <w:b/>
          <w:szCs w:val="22"/>
        </w:rPr>
        <w:t xml:space="preserve">esults </w:t>
      </w:r>
    </w:p>
    <w:p w14:paraId="5DF3DA8A" w14:textId="374CF1AD" w:rsidR="00E6415E" w:rsidRDefault="00E6415E" w:rsidP="00E6415E">
      <w:pPr>
        <w:rPr>
          <w:rFonts w:cs="Arial"/>
          <w:b/>
          <w:szCs w:val="22"/>
        </w:rPr>
      </w:pPr>
    </w:p>
    <w:p w14:paraId="6F13C8CE" w14:textId="10CEB5B2" w:rsidR="00E6415E" w:rsidRPr="006A163D" w:rsidRDefault="00E6415E" w:rsidP="00E6415E">
      <w:pPr>
        <w:pStyle w:val="ListParagraph"/>
        <w:numPr>
          <w:ilvl w:val="0"/>
          <w:numId w:val="1"/>
        </w:numPr>
        <w:spacing w:after="160" w:line="259" w:lineRule="auto"/>
        <w:jc w:val="left"/>
        <w:rPr>
          <w:rFonts w:cs="Arial"/>
          <w:lang w:val="en-US"/>
        </w:rPr>
      </w:pPr>
      <w:r w:rsidRPr="00DA066F">
        <w:rPr>
          <w:rFonts w:cs="Arial"/>
          <w:szCs w:val="22"/>
        </w:rPr>
        <w:t>Respondents were asked to review the</w:t>
      </w:r>
      <w:r w:rsidR="00A34C7B">
        <w:rPr>
          <w:rFonts w:cs="Arial"/>
          <w:szCs w:val="22"/>
        </w:rPr>
        <w:t xml:space="preserve"> budget</w:t>
      </w:r>
      <w:r w:rsidRPr="00DA066F">
        <w:rPr>
          <w:rFonts w:cs="Arial"/>
          <w:szCs w:val="22"/>
        </w:rPr>
        <w:t xml:space="preserve"> proposals and provide their suggestions through an open-ended question, with the intention of gaining more qualitative feedback and wider suggestions perhaps not covered in the proposals. Responses were grouped together and categorised by theme with the frequency shown in the chart below:</w:t>
      </w:r>
    </w:p>
    <w:p w14:paraId="5D20B2F2" w14:textId="2737C63C" w:rsidR="002C681B" w:rsidRPr="002C681B" w:rsidRDefault="00884328" w:rsidP="00884328">
      <w:pPr>
        <w:spacing w:after="160" w:line="259" w:lineRule="auto"/>
        <w:rPr>
          <w:rFonts w:cs="Arial"/>
          <w:lang w:val="en-US"/>
        </w:rPr>
      </w:pPr>
      <w:r>
        <w:rPr>
          <w:rFonts w:cs="Arial"/>
          <w:noProof/>
          <w:lang w:val="en-US"/>
        </w:rPr>
        <w:drawing>
          <wp:inline distT="0" distB="0" distL="0" distR="0" wp14:anchorId="21BCBF1F" wp14:editId="5E6762CD">
            <wp:extent cx="6694099" cy="3968151"/>
            <wp:effectExtent l="0" t="0" r="1206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7E0738" w14:textId="77777777" w:rsidR="00E6415E" w:rsidRPr="00F24C5A" w:rsidRDefault="00E6415E" w:rsidP="00E6415E">
      <w:pPr>
        <w:pBdr>
          <w:top w:val="single" w:sz="2" w:space="3" w:color="FFFFFF"/>
          <w:left w:val="single" w:sz="2" w:space="0" w:color="FFFFFF"/>
          <w:bottom w:val="single" w:sz="2" w:space="2" w:color="FFFFFF"/>
          <w:right w:val="single" w:sz="2" w:space="4" w:color="FFFFFF"/>
        </w:pBdr>
        <w:ind w:right="141"/>
        <w:rPr>
          <w:rFonts w:cs="Arial"/>
          <w:color w:val="00B050"/>
          <w:szCs w:val="22"/>
        </w:rPr>
      </w:pPr>
    </w:p>
    <w:p w14:paraId="51E7CB94" w14:textId="50F8B9F0" w:rsidR="00E6415E" w:rsidRDefault="00E6415E" w:rsidP="00E6415E">
      <w:pPr>
        <w:pStyle w:val="ListParagraph"/>
        <w:numPr>
          <w:ilvl w:val="0"/>
          <w:numId w:val="1"/>
        </w:numPr>
        <w:pBdr>
          <w:top w:val="single" w:sz="2" w:space="3" w:color="FFFFFF"/>
          <w:left w:val="single" w:sz="2" w:space="0" w:color="FFFFFF"/>
          <w:bottom w:val="single" w:sz="2" w:space="2" w:color="FFFFFF"/>
          <w:right w:val="single" w:sz="2" w:space="4" w:color="FFFFFF"/>
        </w:pBdr>
        <w:ind w:right="141"/>
        <w:jc w:val="left"/>
        <w:rPr>
          <w:rFonts w:cs="Arial"/>
          <w:szCs w:val="22"/>
        </w:rPr>
      </w:pPr>
      <w:r w:rsidRPr="00D9340A">
        <w:rPr>
          <w:rFonts w:cs="Arial"/>
          <w:szCs w:val="22"/>
        </w:rPr>
        <w:t xml:space="preserve">The most common theme </w:t>
      </w:r>
      <w:r>
        <w:rPr>
          <w:rFonts w:cs="Arial"/>
          <w:szCs w:val="22"/>
        </w:rPr>
        <w:t>amongst the participant feedback was parks and open spaces, which featured in 1</w:t>
      </w:r>
      <w:r w:rsidR="000E358F">
        <w:rPr>
          <w:rFonts w:cs="Arial"/>
          <w:szCs w:val="22"/>
        </w:rPr>
        <w:t>8 (16.5%</w:t>
      </w:r>
      <w:r>
        <w:rPr>
          <w:rFonts w:cs="Arial"/>
          <w:szCs w:val="22"/>
        </w:rPr>
        <w:t xml:space="preserve">) responses. This included general suggestions for improvements to outdoor facilities, including </w:t>
      </w:r>
      <w:r w:rsidR="000E358F">
        <w:rPr>
          <w:rFonts w:cs="Arial"/>
          <w:szCs w:val="22"/>
        </w:rPr>
        <w:t>adding CCTV and provisions for outdoor sports.</w:t>
      </w:r>
    </w:p>
    <w:p w14:paraId="4479DD9C" w14:textId="77777777" w:rsidR="00E6415E" w:rsidRPr="001C43C5" w:rsidRDefault="00E6415E" w:rsidP="00E6415E">
      <w:pPr>
        <w:pBdr>
          <w:top w:val="single" w:sz="2" w:space="3" w:color="FFFFFF"/>
          <w:left w:val="single" w:sz="2" w:space="0" w:color="FFFFFF"/>
          <w:bottom w:val="single" w:sz="2" w:space="2" w:color="FFFFFF"/>
          <w:right w:val="single" w:sz="2" w:space="4" w:color="FFFFFF"/>
        </w:pBdr>
        <w:ind w:right="141"/>
        <w:jc w:val="left"/>
        <w:rPr>
          <w:rFonts w:cs="Arial"/>
          <w:szCs w:val="22"/>
        </w:rPr>
      </w:pPr>
    </w:p>
    <w:p w14:paraId="12377248" w14:textId="1A3BD1CE" w:rsidR="00E6415E" w:rsidRDefault="00E6415E" w:rsidP="00E6415E">
      <w:pPr>
        <w:pStyle w:val="ListParagraph"/>
        <w:numPr>
          <w:ilvl w:val="0"/>
          <w:numId w:val="1"/>
        </w:numPr>
        <w:pBdr>
          <w:top w:val="single" w:sz="2" w:space="3" w:color="FFFFFF"/>
          <w:left w:val="single" w:sz="2" w:space="0" w:color="FFFFFF"/>
          <w:bottom w:val="single" w:sz="2" w:space="2" w:color="FFFFFF"/>
          <w:right w:val="single" w:sz="2" w:space="4" w:color="FFFFFF"/>
        </w:pBdr>
        <w:ind w:right="141"/>
        <w:jc w:val="left"/>
        <w:rPr>
          <w:rFonts w:cs="Arial"/>
          <w:szCs w:val="22"/>
        </w:rPr>
      </w:pPr>
      <w:r>
        <w:rPr>
          <w:rFonts w:cs="Arial"/>
          <w:szCs w:val="22"/>
        </w:rPr>
        <w:t xml:space="preserve">The second most common theme was </w:t>
      </w:r>
      <w:r w:rsidR="00531127">
        <w:rPr>
          <w:rFonts w:cs="Arial"/>
          <w:szCs w:val="22"/>
        </w:rPr>
        <w:t>transport and highways</w:t>
      </w:r>
      <w:r>
        <w:rPr>
          <w:rFonts w:cs="Arial"/>
          <w:szCs w:val="22"/>
        </w:rPr>
        <w:t xml:space="preserve">, which was mentioned by </w:t>
      </w:r>
      <w:r w:rsidR="00531127">
        <w:rPr>
          <w:rFonts w:cs="Arial"/>
          <w:szCs w:val="22"/>
        </w:rPr>
        <w:t>17</w:t>
      </w:r>
      <w:r>
        <w:rPr>
          <w:rFonts w:cs="Arial"/>
          <w:szCs w:val="22"/>
        </w:rPr>
        <w:t xml:space="preserve"> (1</w:t>
      </w:r>
      <w:r w:rsidR="00531127">
        <w:rPr>
          <w:rFonts w:cs="Arial"/>
          <w:szCs w:val="22"/>
        </w:rPr>
        <w:t>5.6</w:t>
      </w:r>
      <w:r>
        <w:rPr>
          <w:rFonts w:cs="Arial"/>
          <w:szCs w:val="22"/>
        </w:rPr>
        <w:t xml:space="preserve">%) participants. Feedback included </w:t>
      </w:r>
      <w:r w:rsidR="00531127">
        <w:rPr>
          <w:rFonts w:cs="Arial"/>
          <w:szCs w:val="22"/>
        </w:rPr>
        <w:t xml:space="preserve">areas outside of the Council’s remit, with the </w:t>
      </w:r>
      <w:r w:rsidR="00F3171E">
        <w:rPr>
          <w:rFonts w:cs="Arial"/>
          <w:szCs w:val="22"/>
        </w:rPr>
        <w:t xml:space="preserve">fixing </w:t>
      </w:r>
      <w:r w:rsidR="00531127">
        <w:rPr>
          <w:rFonts w:cs="Arial"/>
          <w:szCs w:val="22"/>
        </w:rPr>
        <w:t>Tram Road bridge being a popular theme.</w:t>
      </w:r>
    </w:p>
    <w:p w14:paraId="7427E801" w14:textId="77777777" w:rsidR="00E6415E" w:rsidRPr="006E0586" w:rsidRDefault="00E6415E" w:rsidP="00E6415E">
      <w:pPr>
        <w:rPr>
          <w:rFonts w:cs="Arial"/>
          <w:szCs w:val="22"/>
        </w:rPr>
      </w:pPr>
    </w:p>
    <w:p w14:paraId="39FC62E1" w14:textId="62F40074" w:rsidR="00E6415E" w:rsidRDefault="00E6415E" w:rsidP="00E6415E">
      <w:pPr>
        <w:pStyle w:val="ListParagraph"/>
        <w:numPr>
          <w:ilvl w:val="0"/>
          <w:numId w:val="1"/>
        </w:numPr>
        <w:pBdr>
          <w:top w:val="single" w:sz="2" w:space="3" w:color="FFFFFF"/>
          <w:left w:val="single" w:sz="2" w:space="0" w:color="FFFFFF"/>
          <w:bottom w:val="single" w:sz="2" w:space="2" w:color="FFFFFF"/>
          <w:right w:val="single" w:sz="2" w:space="4" w:color="FFFFFF"/>
        </w:pBdr>
        <w:ind w:right="141"/>
        <w:jc w:val="left"/>
        <w:rPr>
          <w:rFonts w:cs="Arial"/>
          <w:szCs w:val="22"/>
        </w:rPr>
      </w:pPr>
      <w:r>
        <w:rPr>
          <w:rFonts w:cs="Arial"/>
          <w:szCs w:val="22"/>
        </w:rPr>
        <w:t xml:space="preserve">Other common themes included </w:t>
      </w:r>
      <w:r w:rsidR="00531127">
        <w:rPr>
          <w:rFonts w:cs="Arial"/>
          <w:szCs w:val="22"/>
        </w:rPr>
        <w:t xml:space="preserve">the environment, with residents indicating further wildlife meadows and trees as a key priority, which was reflected as a high priority among residents more broadly. </w:t>
      </w:r>
    </w:p>
    <w:p w14:paraId="226A1699" w14:textId="77777777" w:rsidR="00E6415E" w:rsidRPr="002C681B" w:rsidRDefault="00E6415E" w:rsidP="002C681B">
      <w:pPr>
        <w:rPr>
          <w:rFonts w:cs="Arial"/>
          <w:szCs w:val="22"/>
        </w:rPr>
      </w:pPr>
    </w:p>
    <w:p w14:paraId="5AF1C2A6" w14:textId="2DA70E20" w:rsidR="00E6415E" w:rsidRDefault="00E6415E" w:rsidP="00E6415E">
      <w:pPr>
        <w:pStyle w:val="ListParagraph"/>
        <w:numPr>
          <w:ilvl w:val="0"/>
          <w:numId w:val="1"/>
        </w:numPr>
        <w:pBdr>
          <w:top w:val="single" w:sz="2" w:space="3" w:color="FFFFFF"/>
          <w:left w:val="single" w:sz="2" w:space="0" w:color="FFFFFF"/>
          <w:bottom w:val="single" w:sz="2" w:space="2" w:color="FFFFFF"/>
          <w:right w:val="single" w:sz="2" w:space="4" w:color="FFFFFF"/>
        </w:pBdr>
        <w:ind w:right="141"/>
        <w:jc w:val="left"/>
        <w:rPr>
          <w:rFonts w:cs="Arial"/>
          <w:szCs w:val="22"/>
        </w:rPr>
      </w:pPr>
      <w:r>
        <w:rPr>
          <w:rFonts w:cs="Arial"/>
          <w:szCs w:val="22"/>
        </w:rPr>
        <w:t xml:space="preserve">The comments from the five most recurring themes are presented in Appendix B. </w:t>
      </w:r>
    </w:p>
    <w:p w14:paraId="7CD5AF8C" w14:textId="529385AD" w:rsidR="002C681B" w:rsidRDefault="002C681B" w:rsidP="002C681B">
      <w:pPr>
        <w:pBdr>
          <w:top w:val="single" w:sz="2" w:space="3" w:color="FFFFFF"/>
          <w:left w:val="single" w:sz="2" w:space="0" w:color="FFFFFF"/>
          <w:bottom w:val="single" w:sz="2" w:space="2" w:color="FFFFFF"/>
          <w:right w:val="single" w:sz="2" w:space="4" w:color="FFFFFF"/>
        </w:pBdr>
        <w:ind w:right="141"/>
        <w:jc w:val="left"/>
        <w:rPr>
          <w:rFonts w:cs="Arial"/>
          <w:szCs w:val="22"/>
        </w:rPr>
      </w:pPr>
    </w:p>
    <w:p w14:paraId="007C234E" w14:textId="74AC34A2" w:rsidR="002C681B" w:rsidRDefault="002C681B" w:rsidP="002C681B">
      <w:pPr>
        <w:pBdr>
          <w:top w:val="single" w:sz="2" w:space="3" w:color="FFFFFF"/>
          <w:left w:val="single" w:sz="2" w:space="0" w:color="FFFFFF"/>
          <w:bottom w:val="single" w:sz="2" w:space="2" w:color="FFFFFF"/>
          <w:right w:val="single" w:sz="2" w:space="4" w:color="FFFFFF"/>
        </w:pBdr>
        <w:ind w:right="141"/>
        <w:jc w:val="left"/>
        <w:rPr>
          <w:rFonts w:cs="Arial"/>
          <w:b/>
          <w:bCs/>
          <w:szCs w:val="22"/>
        </w:rPr>
      </w:pPr>
      <w:r>
        <w:rPr>
          <w:rFonts w:cs="Arial"/>
          <w:b/>
          <w:bCs/>
          <w:szCs w:val="22"/>
        </w:rPr>
        <w:t xml:space="preserve">Social Media Responses </w:t>
      </w:r>
    </w:p>
    <w:p w14:paraId="0D6C182D" w14:textId="06E82A6D" w:rsidR="002C681B" w:rsidRDefault="002C681B" w:rsidP="002C681B">
      <w:pPr>
        <w:pBdr>
          <w:top w:val="single" w:sz="2" w:space="3" w:color="FFFFFF"/>
          <w:left w:val="single" w:sz="2" w:space="0" w:color="FFFFFF"/>
          <w:bottom w:val="single" w:sz="2" w:space="2" w:color="FFFFFF"/>
          <w:right w:val="single" w:sz="2" w:space="4" w:color="FFFFFF"/>
        </w:pBdr>
        <w:ind w:right="141"/>
        <w:jc w:val="left"/>
        <w:rPr>
          <w:rFonts w:cs="Arial"/>
          <w:b/>
          <w:bCs/>
          <w:szCs w:val="22"/>
        </w:rPr>
      </w:pPr>
    </w:p>
    <w:p w14:paraId="13B0544B" w14:textId="10F201B8" w:rsidR="002C681B" w:rsidRPr="002C681B" w:rsidRDefault="002C681B" w:rsidP="002C681B">
      <w:pPr>
        <w:pStyle w:val="ListParagraph"/>
        <w:numPr>
          <w:ilvl w:val="0"/>
          <w:numId w:val="1"/>
        </w:numPr>
        <w:pBdr>
          <w:top w:val="single" w:sz="2" w:space="3" w:color="FFFFFF"/>
          <w:left w:val="single" w:sz="2" w:space="0" w:color="FFFFFF"/>
          <w:bottom w:val="single" w:sz="2" w:space="2" w:color="FFFFFF"/>
          <w:right w:val="single" w:sz="2" w:space="4" w:color="FFFFFF"/>
        </w:pBdr>
        <w:ind w:right="141"/>
        <w:jc w:val="left"/>
        <w:rPr>
          <w:rFonts w:cs="Arial"/>
          <w:szCs w:val="22"/>
        </w:rPr>
      </w:pPr>
      <w:r>
        <w:rPr>
          <w:rFonts w:cs="Arial"/>
          <w:szCs w:val="22"/>
        </w:rPr>
        <w:t xml:space="preserve">Alongside the online survey, there were </w:t>
      </w:r>
      <w:proofErr w:type="gramStart"/>
      <w:r>
        <w:rPr>
          <w:rFonts w:cs="Arial"/>
          <w:szCs w:val="22"/>
        </w:rPr>
        <w:t>a number of</w:t>
      </w:r>
      <w:proofErr w:type="gramEnd"/>
      <w:r>
        <w:rPr>
          <w:rFonts w:cs="Arial"/>
          <w:szCs w:val="22"/>
        </w:rPr>
        <w:t xml:space="preserve"> structured Facebook posts during the consultation period. These received </w:t>
      </w:r>
      <w:r w:rsidR="0054250F">
        <w:rPr>
          <w:rFonts w:cs="Arial"/>
          <w:szCs w:val="22"/>
        </w:rPr>
        <w:t>39</w:t>
      </w:r>
      <w:r>
        <w:rPr>
          <w:rFonts w:cs="Arial"/>
          <w:szCs w:val="22"/>
        </w:rPr>
        <w:t xml:space="preserve"> comments. The</w:t>
      </w:r>
      <w:r w:rsidR="00810E79">
        <w:rPr>
          <w:rFonts w:cs="Arial"/>
          <w:szCs w:val="22"/>
        </w:rPr>
        <w:t>se</w:t>
      </w:r>
      <w:r w:rsidR="00741339">
        <w:rPr>
          <w:rFonts w:cs="Arial"/>
          <w:szCs w:val="22"/>
        </w:rPr>
        <w:t xml:space="preserve"> </w:t>
      </w:r>
      <w:r>
        <w:rPr>
          <w:rFonts w:cs="Arial"/>
          <w:szCs w:val="22"/>
        </w:rPr>
        <w:t>comments broadly reflect</w:t>
      </w:r>
      <w:r w:rsidR="00810E79">
        <w:rPr>
          <w:rFonts w:cs="Arial"/>
          <w:szCs w:val="22"/>
        </w:rPr>
        <w:t>ed</w:t>
      </w:r>
      <w:r w:rsidR="00741339">
        <w:rPr>
          <w:rFonts w:cs="Arial"/>
          <w:szCs w:val="22"/>
        </w:rPr>
        <w:t xml:space="preserve"> </w:t>
      </w:r>
      <w:r w:rsidR="00810E79">
        <w:rPr>
          <w:rFonts w:cs="Arial"/>
          <w:szCs w:val="22"/>
        </w:rPr>
        <w:t xml:space="preserve">the themes of the consultation. </w:t>
      </w:r>
      <w:r w:rsidR="00787AC0">
        <w:rPr>
          <w:rFonts w:cs="Arial"/>
          <w:szCs w:val="22"/>
        </w:rPr>
        <w:t xml:space="preserve"> </w:t>
      </w:r>
    </w:p>
    <w:p w14:paraId="07C536B2" w14:textId="77777777" w:rsidR="00E6415E" w:rsidRDefault="00E6415E" w:rsidP="00E6415E">
      <w:pPr>
        <w:pBdr>
          <w:top w:val="single" w:sz="2" w:space="1" w:color="FFFFFF"/>
          <w:left w:val="single" w:sz="2" w:space="0" w:color="FFFFFF"/>
          <w:bottom w:val="single" w:sz="2" w:space="2" w:color="FFFFFF"/>
          <w:right w:val="single" w:sz="2" w:space="4" w:color="FFFFFF"/>
        </w:pBdr>
        <w:tabs>
          <w:tab w:val="left" w:pos="0"/>
          <w:tab w:val="left" w:pos="567"/>
        </w:tabs>
        <w:ind w:right="141"/>
        <w:rPr>
          <w:rFonts w:cs="Arial"/>
          <w:b/>
          <w:iCs/>
          <w:sz w:val="22"/>
          <w:szCs w:val="22"/>
        </w:rPr>
      </w:pPr>
    </w:p>
    <w:p w14:paraId="33CFFCB8" w14:textId="77777777" w:rsidR="00E6415E" w:rsidRPr="006E0586" w:rsidRDefault="00E6415E" w:rsidP="00E6415E">
      <w:pPr>
        <w:pBdr>
          <w:top w:val="single" w:sz="2" w:space="1" w:color="FFFFFF"/>
          <w:left w:val="single" w:sz="2" w:space="0" w:color="FFFFFF"/>
          <w:bottom w:val="single" w:sz="2" w:space="2" w:color="FFFFFF"/>
          <w:right w:val="single" w:sz="2" w:space="4" w:color="FFFFFF"/>
        </w:pBdr>
        <w:tabs>
          <w:tab w:val="left" w:pos="0"/>
          <w:tab w:val="left" w:pos="567"/>
        </w:tabs>
        <w:ind w:right="141"/>
        <w:rPr>
          <w:rFonts w:cs="Arial"/>
          <w:b/>
          <w:iCs/>
          <w:szCs w:val="24"/>
        </w:rPr>
      </w:pPr>
      <w:r w:rsidRPr="006E0586">
        <w:rPr>
          <w:rFonts w:cs="Arial"/>
          <w:b/>
          <w:iCs/>
          <w:szCs w:val="24"/>
        </w:rPr>
        <w:t>IMPLICATIONS OF REPORT</w:t>
      </w:r>
    </w:p>
    <w:p w14:paraId="4D1EDF35" w14:textId="77777777" w:rsidR="00E6415E" w:rsidRPr="00B35C36" w:rsidRDefault="00E6415E" w:rsidP="00E6415E">
      <w:pPr>
        <w:pBdr>
          <w:top w:val="single" w:sz="2" w:space="1" w:color="FFFFFF"/>
          <w:left w:val="single" w:sz="2" w:space="0" w:color="FFFFFF"/>
          <w:bottom w:val="single" w:sz="2" w:space="2" w:color="FFFFFF"/>
          <w:right w:val="single" w:sz="2" w:space="4" w:color="FFFFFF"/>
        </w:pBdr>
        <w:tabs>
          <w:tab w:val="left" w:pos="0"/>
          <w:tab w:val="left" w:pos="567"/>
        </w:tabs>
        <w:ind w:right="141"/>
        <w:rPr>
          <w:rFonts w:cs="Arial"/>
          <w:b/>
          <w:iCs/>
          <w:sz w:val="22"/>
          <w:szCs w:val="22"/>
        </w:rPr>
      </w:pPr>
    </w:p>
    <w:p w14:paraId="3465CF38" w14:textId="77777777" w:rsidR="00E6415E" w:rsidRPr="003F388A" w:rsidRDefault="00E6415E" w:rsidP="00E6415E">
      <w:pPr>
        <w:pBdr>
          <w:top w:val="single" w:sz="2" w:space="1" w:color="FFFFFF"/>
          <w:left w:val="single" w:sz="2" w:space="0" w:color="FFFFFF"/>
          <w:bottom w:val="single" w:sz="2" w:space="2" w:color="FFFFFF"/>
          <w:right w:val="single" w:sz="2" w:space="4" w:color="FFFFFF"/>
        </w:pBdr>
        <w:tabs>
          <w:tab w:val="left" w:pos="567"/>
          <w:tab w:val="left" w:pos="709"/>
        </w:tabs>
        <w:ind w:right="141"/>
        <w:rPr>
          <w:rFonts w:cs="Arial"/>
          <w:b/>
          <w:iCs/>
          <w:vanish/>
          <w:szCs w:val="22"/>
        </w:rPr>
      </w:pPr>
    </w:p>
    <w:p w14:paraId="40CB5E73" w14:textId="77777777" w:rsidR="00E6415E" w:rsidRPr="003F388A" w:rsidRDefault="00E6415E" w:rsidP="00E6415E">
      <w:pPr>
        <w:numPr>
          <w:ilvl w:val="0"/>
          <w:numId w:val="1"/>
        </w:numPr>
        <w:pBdr>
          <w:top w:val="single" w:sz="2" w:space="1" w:color="FFFFFF"/>
          <w:left w:val="single" w:sz="2" w:space="0" w:color="FFFFFF"/>
          <w:bottom w:val="single" w:sz="2" w:space="2" w:color="FFFFFF"/>
          <w:right w:val="single" w:sz="2" w:space="4" w:color="FFFFFF"/>
        </w:pBdr>
        <w:ind w:right="141"/>
        <w:rPr>
          <w:rFonts w:cs="Arial"/>
          <w:szCs w:val="22"/>
        </w:rPr>
      </w:pPr>
      <w:r w:rsidRPr="003F388A">
        <w:rPr>
          <w:rFonts w:cs="Arial"/>
          <w:szCs w:val="22"/>
        </w:rPr>
        <w:t>This report has implications in the following areas and the relevant Directors’ comments are included:</w:t>
      </w:r>
    </w:p>
    <w:p w14:paraId="54F34A14" w14:textId="77777777" w:rsidR="00E6415E" w:rsidRPr="00B35C36" w:rsidRDefault="00E6415E" w:rsidP="00E6415E">
      <w:pPr>
        <w:pStyle w:val="BlockText"/>
        <w:tabs>
          <w:tab w:val="clear" w:pos="709"/>
          <w:tab w:val="left" w:pos="567"/>
        </w:tabs>
        <w:ind w:left="0"/>
        <w:rPr>
          <w:rFonts w:cs="Arial"/>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67"/>
        <w:gridCol w:w="567"/>
        <w:gridCol w:w="3827"/>
        <w:gridCol w:w="567"/>
      </w:tblGrid>
      <w:tr w:rsidR="00787AC0" w:rsidRPr="00B35C36" w14:paraId="5ACE9F38" w14:textId="77777777" w:rsidTr="00787AC0">
        <w:tc>
          <w:tcPr>
            <w:tcW w:w="3827" w:type="dxa"/>
          </w:tcPr>
          <w:p w14:paraId="146DB51D" w14:textId="77777777" w:rsidR="00787AC0" w:rsidRPr="00B35C36" w:rsidRDefault="00787AC0" w:rsidP="00C11BE3">
            <w:pPr>
              <w:tabs>
                <w:tab w:val="left" w:pos="567"/>
                <w:tab w:val="left" w:pos="709"/>
              </w:tabs>
              <w:ind w:right="141"/>
              <w:rPr>
                <w:rFonts w:cs="Arial"/>
                <w:sz w:val="22"/>
                <w:szCs w:val="22"/>
              </w:rPr>
            </w:pPr>
            <w:r w:rsidRPr="00B35C36">
              <w:rPr>
                <w:rFonts w:cs="Arial"/>
                <w:sz w:val="22"/>
                <w:szCs w:val="22"/>
              </w:rPr>
              <w:t>Finance</w:t>
            </w:r>
          </w:p>
        </w:tc>
        <w:tc>
          <w:tcPr>
            <w:tcW w:w="567" w:type="dxa"/>
          </w:tcPr>
          <w:p w14:paraId="3012FA91" w14:textId="77777777" w:rsidR="00787AC0" w:rsidRPr="00B35C36" w:rsidRDefault="00787AC0" w:rsidP="00C11BE3">
            <w:pPr>
              <w:tabs>
                <w:tab w:val="left" w:pos="567"/>
                <w:tab w:val="left" w:pos="709"/>
              </w:tabs>
              <w:jc w:val="center"/>
              <w:rPr>
                <w:rFonts w:cs="Arial"/>
                <w:sz w:val="22"/>
                <w:szCs w:val="22"/>
              </w:rPr>
            </w:pPr>
          </w:p>
        </w:tc>
        <w:tc>
          <w:tcPr>
            <w:tcW w:w="567" w:type="dxa"/>
          </w:tcPr>
          <w:p w14:paraId="4FC9D6D3" w14:textId="618E6DB1" w:rsidR="00787AC0" w:rsidRPr="00B35C36" w:rsidRDefault="00787AC0" w:rsidP="00C11BE3">
            <w:pPr>
              <w:tabs>
                <w:tab w:val="left" w:pos="567"/>
                <w:tab w:val="left" w:pos="709"/>
              </w:tabs>
              <w:jc w:val="center"/>
              <w:rPr>
                <w:rFonts w:cs="Arial"/>
                <w:sz w:val="22"/>
                <w:szCs w:val="22"/>
              </w:rPr>
            </w:pPr>
            <w:r w:rsidRPr="00B35C36">
              <w:rPr>
                <w:rFonts w:cs="Arial"/>
                <w:sz w:val="22"/>
                <w:szCs w:val="22"/>
              </w:rPr>
              <w:sym w:font="Wingdings" w:char="F0FC"/>
            </w:r>
          </w:p>
        </w:tc>
        <w:tc>
          <w:tcPr>
            <w:tcW w:w="3827" w:type="dxa"/>
          </w:tcPr>
          <w:p w14:paraId="0D434CD3" w14:textId="77777777" w:rsidR="00787AC0" w:rsidRPr="00B35C36" w:rsidRDefault="00787AC0" w:rsidP="00C11BE3">
            <w:pPr>
              <w:tabs>
                <w:tab w:val="left" w:pos="567"/>
                <w:tab w:val="left" w:pos="709"/>
              </w:tabs>
              <w:ind w:right="141"/>
              <w:rPr>
                <w:rFonts w:cs="Arial"/>
                <w:sz w:val="22"/>
                <w:szCs w:val="22"/>
              </w:rPr>
            </w:pPr>
            <w:r w:rsidRPr="00B35C36">
              <w:rPr>
                <w:rFonts w:cs="Arial"/>
                <w:sz w:val="22"/>
                <w:szCs w:val="22"/>
              </w:rPr>
              <w:t xml:space="preserve">Customer Services </w:t>
            </w:r>
          </w:p>
        </w:tc>
        <w:tc>
          <w:tcPr>
            <w:tcW w:w="567" w:type="dxa"/>
          </w:tcPr>
          <w:p w14:paraId="69E6EAE7" w14:textId="77777777" w:rsidR="00787AC0" w:rsidRPr="00B35C36" w:rsidRDefault="00787AC0" w:rsidP="00C11BE3">
            <w:pPr>
              <w:tabs>
                <w:tab w:val="left" w:pos="567"/>
                <w:tab w:val="left" w:pos="709"/>
              </w:tabs>
              <w:ind w:right="33"/>
              <w:jc w:val="center"/>
              <w:rPr>
                <w:rFonts w:cs="Arial"/>
                <w:sz w:val="22"/>
                <w:szCs w:val="22"/>
              </w:rPr>
            </w:pPr>
          </w:p>
        </w:tc>
      </w:tr>
      <w:tr w:rsidR="00787AC0" w:rsidRPr="00B35C36" w14:paraId="7B83D2D3" w14:textId="77777777" w:rsidTr="00787AC0">
        <w:tc>
          <w:tcPr>
            <w:tcW w:w="3827" w:type="dxa"/>
          </w:tcPr>
          <w:p w14:paraId="43BF187C" w14:textId="77777777" w:rsidR="00787AC0" w:rsidRPr="00B35C36" w:rsidRDefault="00787AC0" w:rsidP="00C11BE3">
            <w:pPr>
              <w:tabs>
                <w:tab w:val="left" w:pos="567"/>
                <w:tab w:val="left" w:pos="709"/>
              </w:tabs>
              <w:ind w:right="141"/>
              <w:rPr>
                <w:rFonts w:cs="Arial"/>
                <w:sz w:val="22"/>
                <w:szCs w:val="22"/>
              </w:rPr>
            </w:pPr>
            <w:r w:rsidRPr="00B35C36">
              <w:rPr>
                <w:rFonts w:cs="Arial"/>
                <w:sz w:val="22"/>
                <w:szCs w:val="22"/>
              </w:rPr>
              <w:t>Human Resources</w:t>
            </w:r>
          </w:p>
        </w:tc>
        <w:tc>
          <w:tcPr>
            <w:tcW w:w="567" w:type="dxa"/>
          </w:tcPr>
          <w:p w14:paraId="5BBF9A10" w14:textId="77777777" w:rsidR="00787AC0" w:rsidRPr="00B35C36" w:rsidRDefault="00787AC0" w:rsidP="00C11BE3">
            <w:pPr>
              <w:tabs>
                <w:tab w:val="left" w:pos="567"/>
                <w:tab w:val="left" w:pos="709"/>
              </w:tabs>
              <w:jc w:val="center"/>
              <w:rPr>
                <w:rFonts w:cs="Arial"/>
                <w:sz w:val="22"/>
                <w:szCs w:val="22"/>
              </w:rPr>
            </w:pPr>
          </w:p>
        </w:tc>
        <w:tc>
          <w:tcPr>
            <w:tcW w:w="567" w:type="dxa"/>
          </w:tcPr>
          <w:p w14:paraId="151B3187" w14:textId="6323494A" w:rsidR="00787AC0" w:rsidRPr="00B35C36" w:rsidRDefault="00787AC0" w:rsidP="00C11BE3">
            <w:pPr>
              <w:tabs>
                <w:tab w:val="left" w:pos="567"/>
                <w:tab w:val="left" w:pos="709"/>
              </w:tabs>
              <w:jc w:val="center"/>
              <w:rPr>
                <w:rFonts w:cs="Arial"/>
                <w:sz w:val="22"/>
                <w:szCs w:val="22"/>
              </w:rPr>
            </w:pPr>
          </w:p>
        </w:tc>
        <w:tc>
          <w:tcPr>
            <w:tcW w:w="3827" w:type="dxa"/>
          </w:tcPr>
          <w:p w14:paraId="4F47D1C6" w14:textId="77777777" w:rsidR="00787AC0" w:rsidRPr="00B35C36" w:rsidRDefault="00787AC0" w:rsidP="00C11BE3">
            <w:pPr>
              <w:tabs>
                <w:tab w:val="left" w:pos="567"/>
                <w:tab w:val="left" w:pos="709"/>
              </w:tabs>
              <w:ind w:right="141"/>
              <w:rPr>
                <w:rFonts w:cs="Arial"/>
                <w:sz w:val="22"/>
                <w:szCs w:val="22"/>
              </w:rPr>
            </w:pPr>
            <w:r w:rsidRPr="00B35C36">
              <w:rPr>
                <w:rFonts w:cs="Arial"/>
                <w:sz w:val="22"/>
                <w:szCs w:val="22"/>
              </w:rPr>
              <w:t xml:space="preserve">Equality and Diversity </w:t>
            </w:r>
          </w:p>
        </w:tc>
        <w:tc>
          <w:tcPr>
            <w:tcW w:w="567" w:type="dxa"/>
          </w:tcPr>
          <w:p w14:paraId="11476895" w14:textId="77777777" w:rsidR="00787AC0" w:rsidRPr="00B35C36" w:rsidRDefault="00787AC0" w:rsidP="00C11BE3">
            <w:pPr>
              <w:tabs>
                <w:tab w:val="left" w:pos="567"/>
                <w:tab w:val="left" w:pos="709"/>
              </w:tabs>
              <w:ind w:right="33"/>
              <w:jc w:val="center"/>
              <w:rPr>
                <w:rFonts w:cs="Arial"/>
                <w:sz w:val="22"/>
                <w:szCs w:val="22"/>
              </w:rPr>
            </w:pPr>
          </w:p>
        </w:tc>
      </w:tr>
      <w:tr w:rsidR="00787AC0" w:rsidRPr="00B35C36" w14:paraId="25AC88AF" w14:textId="77777777" w:rsidTr="00787AC0">
        <w:tc>
          <w:tcPr>
            <w:tcW w:w="3827" w:type="dxa"/>
          </w:tcPr>
          <w:p w14:paraId="0B3BD96C" w14:textId="77777777" w:rsidR="00787AC0" w:rsidRPr="00B35C36" w:rsidRDefault="00787AC0" w:rsidP="00C11BE3">
            <w:pPr>
              <w:tabs>
                <w:tab w:val="left" w:pos="567"/>
                <w:tab w:val="left" w:pos="709"/>
              </w:tabs>
              <w:ind w:right="141"/>
              <w:rPr>
                <w:rFonts w:cs="Arial"/>
                <w:sz w:val="22"/>
                <w:szCs w:val="22"/>
              </w:rPr>
            </w:pPr>
            <w:r w:rsidRPr="00B35C36">
              <w:rPr>
                <w:rFonts w:cs="Arial"/>
                <w:sz w:val="22"/>
                <w:szCs w:val="22"/>
              </w:rPr>
              <w:t>Legal</w:t>
            </w:r>
          </w:p>
        </w:tc>
        <w:tc>
          <w:tcPr>
            <w:tcW w:w="567" w:type="dxa"/>
          </w:tcPr>
          <w:p w14:paraId="167F2D1A" w14:textId="77777777" w:rsidR="00787AC0" w:rsidRPr="00B35C36" w:rsidRDefault="00787AC0" w:rsidP="00C11BE3">
            <w:pPr>
              <w:tabs>
                <w:tab w:val="left" w:pos="567"/>
                <w:tab w:val="left" w:pos="709"/>
              </w:tabs>
              <w:jc w:val="center"/>
              <w:rPr>
                <w:rFonts w:cs="Arial"/>
                <w:sz w:val="22"/>
                <w:szCs w:val="22"/>
              </w:rPr>
            </w:pPr>
          </w:p>
        </w:tc>
        <w:tc>
          <w:tcPr>
            <w:tcW w:w="567" w:type="dxa"/>
          </w:tcPr>
          <w:p w14:paraId="1210C5F3" w14:textId="60862D27" w:rsidR="00787AC0" w:rsidRPr="00B35C36" w:rsidRDefault="00787AC0" w:rsidP="00C11BE3">
            <w:pPr>
              <w:tabs>
                <w:tab w:val="left" w:pos="567"/>
                <w:tab w:val="left" w:pos="709"/>
              </w:tabs>
              <w:jc w:val="center"/>
              <w:rPr>
                <w:rFonts w:cs="Arial"/>
                <w:sz w:val="22"/>
                <w:szCs w:val="22"/>
              </w:rPr>
            </w:pPr>
          </w:p>
        </w:tc>
        <w:tc>
          <w:tcPr>
            <w:tcW w:w="3827" w:type="dxa"/>
          </w:tcPr>
          <w:p w14:paraId="2886BA38" w14:textId="77777777" w:rsidR="00787AC0" w:rsidRPr="00B35C36" w:rsidRDefault="00787AC0" w:rsidP="00C11BE3">
            <w:pPr>
              <w:tabs>
                <w:tab w:val="left" w:pos="567"/>
                <w:tab w:val="left" w:pos="709"/>
              </w:tabs>
              <w:ind w:right="141"/>
              <w:rPr>
                <w:rFonts w:cs="Arial"/>
                <w:sz w:val="22"/>
                <w:szCs w:val="22"/>
              </w:rPr>
            </w:pPr>
            <w:r w:rsidRPr="00B35C36">
              <w:rPr>
                <w:rFonts w:cs="Arial"/>
                <w:sz w:val="22"/>
                <w:szCs w:val="22"/>
              </w:rPr>
              <w:t>Integrated Impact Assessment required?</w:t>
            </w:r>
          </w:p>
        </w:tc>
        <w:tc>
          <w:tcPr>
            <w:tcW w:w="567" w:type="dxa"/>
          </w:tcPr>
          <w:p w14:paraId="53A2BFFF" w14:textId="77777777" w:rsidR="00787AC0" w:rsidRPr="00B35C36" w:rsidRDefault="00787AC0" w:rsidP="00C11BE3">
            <w:pPr>
              <w:tabs>
                <w:tab w:val="left" w:pos="567"/>
                <w:tab w:val="left" w:pos="709"/>
              </w:tabs>
              <w:ind w:right="33"/>
              <w:jc w:val="center"/>
              <w:rPr>
                <w:rFonts w:cs="Arial"/>
                <w:sz w:val="22"/>
                <w:szCs w:val="22"/>
              </w:rPr>
            </w:pPr>
          </w:p>
        </w:tc>
      </w:tr>
      <w:tr w:rsidR="00787AC0" w:rsidRPr="00B35C36" w14:paraId="62C86B79" w14:textId="77777777" w:rsidTr="00787AC0">
        <w:tc>
          <w:tcPr>
            <w:tcW w:w="3827" w:type="dxa"/>
          </w:tcPr>
          <w:p w14:paraId="67045C64" w14:textId="77777777" w:rsidR="00787AC0" w:rsidRPr="00B35C36" w:rsidRDefault="00787AC0" w:rsidP="00C11BE3">
            <w:pPr>
              <w:tabs>
                <w:tab w:val="left" w:pos="567"/>
                <w:tab w:val="left" w:pos="709"/>
              </w:tabs>
              <w:ind w:right="141"/>
              <w:rPr>
                <w:rFonts w:cs="Arial"/>
                <w:sz w:val="22"/>
                <w:szCs w:val="22"/>
              </w:rPr>
            </w:pPr>
            <w:r w:rsidRPr="00B35C36">
              <w:rPr>
                <w:rFonts w:cs="Arial"/>
                <w:sz w:val="22"/>
                <w:szCs w:val="22"/>
              </w:rPr>
              <w:t>No significant implications in this area</w:t>
            </w:r>
          </w:p>
        </w:tc>
        <w:tc>
          <w:tcPr>
            <w:tcW w:w="567" w:type="dxa"/>
          </w:tcPr>
          <w:p w14:paraId="0A58DFB3" w14:textId="77777777" w:rsidR="00787AC0" w:rsidRPr="00B35C36" w:rsidRDefault="00787AC0" w:rsidP="00C11BE3">
            <w:pPr>
              <w:tabs>
                <w:tab w:val="left" w:pos="567"/>
                <w:tab w:val="left" w:pos="709"/>
              </w:tabs>
              <w:jc w:val="center"/>
              <w:rPr>
                <w:rFonts w:cs="Arial"/>
                <w:sz w:val="22"/>
                <w:szCs w:val="22"/>
              </w:rPr>
            </w:pPr>
          </w:p>
        </w:tc>
        <w:tc>
          <w:tcPr>
            <w:tcW w:w="567" w:type="dxa"/>
          </w:tcPr>
          <w:p w14:paraId="2D5958B9" w14:textId="27F2028F" w:rsidR="00787AC0" w:rsidRPr="00B35C36" w:rsidRDefault="00787AC0" w:rsidP="00C11BE3">
            <w:pPr>
              <w:tabs>
                <w:tab w:val="left" w:pos="567"/>
                <w:tab w:val="left" w:pos="709"/>
              </w:tabs>
              <w:jc w:val="center"/>
              <w:rPr>
                <w:rFonts w:cs="Arial"/>
                <w:sz w:val="22"/>
                <w:szCs w:val="22"/>
              </w:rPr>
            </w:pPr>
          </w:p>
        </w:tc>
        <w:tc>
          <w:tcPr>
            <w:tcW w:w="3827" w:type="dxa"/>
          </w:tcPr>
          <w:p w14:paraId="57AD765D" w14:textId="77777777" w:rsidR="00787AC0" w:rsidRPr="00B35C36" w:rsidRDefault="00787AC0" w:rsidP="00C11BE3">
            <w:pPr>
              <w:tabs>
                <w:tab w:val="left" w:pos="567"/>
                <w:tab w:val="left" w:pos="709"/>
              </w:tabs>
              <w:ind w:right="141"/>
              <w:rPr>
                <w:rFonts w:cs="Arial"/>
                <w:sz w:val="22"/>
                <w:szCs w:val="22"/>
              </w:rPr>
            </w:pPr>
            <w:r w:rsidRPr="00B35C36">
              <w:rPr>
                <w:rFonts w:cs="Arial"/>
                <w:sz w:val="22"/>
                <w:szCs w:val="22"/>
              </w:rPr>
              <w:t>Policy and Communications</w:t>
            </w:r>
          </w:p>
        </w:tc>
        <w:tc>
          <w:tcPr>
            <w:tcW w:w="567" w:type="dxa"/>
          </w:tcPr>
          <w:p w14:paraId="34A2C0BA" w14:textId="77777777" w:rsidR="00787AC0" w:rsidRPr="00B35C36" w:rsidRDefault="00787AC0" w:rsidP="00C11BE3">
            <w:pPr>
              <w:tabs>
                <w:tab w:val="left" w:pos="567"/>
                <w:tab w:val="left" w:pos="709"/>
              </w:tabs>
              <w:ind w:right="33"/>
              <w:jc w:val="center"/>
              <w:rPr>
                <w:rFonts w:cs="Arial"/>
                <w:sz w:val="22"/>
                <w:szCs w:val="22"/>
              </w:rPr>
            </w:pPr>
          </w:p>
        </w:tc>
      </w:tr>
    </w:tbl>
    <w:p w14:paraId="3DCFDADF" w14:textId="77777777" w:rsidR="00E6415E" w:rsidRPr="00B35C36" w:rsidRDefault="00E6415E" w:rsidP="00E6415E">
      <w:pPr>
        <w:pBdr>
          <w:top w:val="single" w:sz="2" w:space="1" w:color="FFFFFF"/>
          <w:left w:val="single" w:sz="2" w:space="0" w:color="FFFFFF"/>
          <w:bottom w:val="single" w:sz="2" w:space="2" w:color="FFFFFF"/>
          <w:right w:val="single" w:sz="2" w:space="4" w:color="FFFFFF"/>
        </w:pBdr>
        <w:tabs>
          <w:tab w:val="left" w:pos="567"/>
        </w:tabs>
        <w:ind w:right="141"/>
        <w:rPr>
          <w:rFonts w:cs="Arial"/>
          <w:sz w:val="22"/>
          <w:szCs w:val="22"/>
        </w:rPr>
      </w:pPr>
    </w:p>
    <w:p w14:paraId="6A0C75A6" w14:textId="77777777" w:rsidR="00E6415E" w:rsidRPr="006E0586" w:rsidRDefault="00E6415E" w:rsidP="00E6415E">
      <w:pPr>
        <w:pBdr>
          <w:top w:val="single" w:sz="2" w:space="1" w:color="FFFFFF"/>
          <w:left w:val="single" w:sz="2" w:space="0" w:color="FFFFFF"/>
          <w:bottom w:val="single" w:sz="2" w:space="2" w:color="FFFFFF"/>
          <w:right w:val="single" w:sz="2" w:space="4" w:color="FFFFFF"/>
        </w:pBdr>
        <w:tabs>
          <w:tab w:val="left" w:pos="567"/>
        </w:tabs>
        <w:ind w:left="567" w:right="141" w:hanging="567"/>
        <w:rPr>
          <w:rFonts w:cs="Arial"/>
          <w:szCs w:val="24"/>
        </w:rPr>
      </w:pPr>
      <w:r w:rsidRPr="006E0586">
        <w:rPr>
          <w:rFonts w:cs="Arial"/>
          <w:b/>
          <w:szCs w:val="24"/>
        </w:rPr>
        <w:t xml:space="preserve">COMMENTS OF THE STATUTORY FINANCE OFFICER </w:t>
      </w:r>
    </w:p>
    <w:p w14:paraId="7B0A5CEF" w14:textId="77777777" w:rsidR="00E6415E" w:rsidRPr="006E0586" w:rsidRDefault="00E6415E" w:rsidP="00E6415E">
      <w:pPr>
        <w:pBdr>
          <w:top w:val="single" w:sz="2" w:space="1" w:color="FFFFFF"/>
          <w:left w:val="single" w:sz="2" w:space="0" w:color="FFFFFF"/>
          <w:bottom w:val="single" w:sz="2" w:space="2" w:color="FFFFFF"/>
          <w:right w:val="single" w:sz="2" w:space="4" w:color="FFFFFF"/>
        </w:pBdr>
        <w:tabs>
          <w:tab w:val="left" w:pos="567"/>
        </w:tabs>
        <w:ind w:left="567" w:right="141" w:hanging="567"/>
        <w:rPr>
          <w:rFonts w:cs="Arial"/>
          <w:szCs w:val="24"/>
        </w:rPr>
      </w:pPr>
    </w:p>
    <w:p w14:paraId="579C31C9" w14:textId="77777777" w:rsidR="00E6415E" w:rsidRPr="006E0586" w:rsidRDefault="00E6415E" w:rsidP="00E6415E">
      <w:pPr>
        <w:pStyle w:val="ListParagraph"/>
        <w:numPr>
          <w:ilvl w:val="0"/>
          <w:numId w:val="1"/>
        </w:numPr>
        <w:pBdr>
          <w:top w:val="single" w:sz="2" w:space="1" w:color="FFFFFF"/>
          <w:left w:val="single" w:sz="2" w:space="0" w:color="FFFFFF"/>
          <w:bottom w:val="single" w:sz="2" w:space="2" w:color="FFFFFF"/>
          <w:right w:val="single" w:sz="2" w:space="4" w:color="FFFFFF"/>
        </w:pBdr>
        <w:ind w:right="141"/>
        <w:rPr>
          <w:rFonts w:cs="Arial"/>
          <w:szCs w:val="24"/>
        </w:rPr>
      </w:pPr>
      <w:r w:rsidRPr="006E0586">
        <w:rPr>
          <w:rFonts w:cs="Arial"/>
          <w:szCs w:val="24"/>
        </w:rPr>
        <w:t xml:space="preserve">There are no comments. </w:t>
      </w:r>
    </w:p>
    <w:p w14:paraId="1E2EDAB1" w14:textId="77777777" w:rsidR="00E6415E" w:rsidRPr="006E0586" w:rsidRDefault="00E6415E" w:rsidP="00E6415E">
      <w:pPr>
        <w:pBdr>
          <w:top w:val="single" w:sz="2" w:space="1" w:color="FFFFFF"/>
          <w:left w:val="single" w:sz="2" w:space="0" w:color="FFFFFF"/>
          <w:bottom w:val="single" w:sz="2" w:space="2" w:color="FFFFFF"/>
          <w:right w:val="single" w:sz="2" w:space="4" w:color="FFFFFF"/>
        </w:pBdr>
        <w:tabs>
          <w:tab w:val="left" w:pos="567"/>
        </w:tabs>
        <w:ind w:right="141"/>
        <w:rPr>
          <w:rFonts w:cs="Arial"/>
          <w:szCs w:val="24"/>
        </w:rPr>
      </w:pPr>
    </w:p>
    <w:p w14:paraId="068876A5" w14:textId="77777777" w:rsidR="00E6415E" w:rsidRPr="006E0586" w:rsidRDefault="00E6415E" w:rsidP="00E6415E">
      <w:pPr>
        <w:jc w:val="left"/>
        <w:rPr>
          <w:rFonts w:cs="Arial"/>
          <w:b/>
          <w:szCs w:val="24"/>
        </w:rPr>
      </w:pPr>
      <w:r w:rsidRPr="006E0586">
        <w:rPr>
          <w:rFonts w:cs="Arial"/>
          <w:b/>
          <w:szCs w:val="24"/>
        </w:rPr>
        <w:t xml:space="preserve">COMMENTS OF THE MONITORING OFFICER </w:t>
      </w:r>
    </w:p>
    <w:p w14:paraId="3C3C5037" w14:textId="77777777" w:rsidR="00E6415E" w:rsidRPr="006E0586" w:rsidRDefault="00E6415E" w:rsidP="00E6415E">
      <w:pPr>
        <w:pBdr>
          <w:top w:val="single" w:sz="2" w:space="1" w:color="FFFFFF"/>
          <w:left w:val="single" w:sz="2" w:space="0" w:color="FFFFFF"/>
          <w:bottom w:val="single" w:sz="2" w:space="2" w:color="FFFFFF"/>
          <w:right w:val="single" w:sz="2" w:space="4" w:color="FFFFFF"/>
        </w:pBdr>
        <w:tabs>
          <w:tab w:val="left" w:pos="567"/>
        </w:tabs>
        <w:ind w:left="567" w:right="141" w:hanging="567"/>
        <w:rPr>
          <w:rFonts w:cs="Arial"/>
          <w:szCs w:val="24"/>
        </w:rPr>
      </w:pPr>
    </w:p>
    <w:p w14:paraId="70DE1143" w14:textId="77777777" w:rsidR="00E6415E" w:rsidRPr="006E0586" w:rsidRDefault="00E6415E" w:rsidP="00E6415E">
      <w:pPr>
        <w:pStyle w:val="ListParagraph"/>
        <w:numPr>
          <w:ilvl w:val="0"/>
          <w:numId w:val="1"/>
        </w:numPr>
        <w:pBdr>
          <w:top w:val="single" w:sz="2" w:space="1" w:color="FFFFFF"/>
          <w:left w:val="single" w:sz="2" w:space="0" w:color="FFFFFF"/>
          <w:bottom w:val="single" w:sz="2" w:space="2" w:color="FFFFFF"/>
          <w:right w:val="single" w:sz="2" w:space="4" w:color="FFFFFF"/>
        </w:pBdr>
        <w:ind w:right="141"/>
        <w:rPr>
          <w:szCs w:val="24"/>
        </w:rPr>
      </w:pPr>
      <w:r w:rsidRPr="006E0586">
        <w:rPr>
          <w:rFonts w:cs="Arial"/>
          <w:szCs w:val="24"/>
        </w:rPr>
        <w:t>There</w:t>
      </w:r>
      <w:r w:rsidRPr="006E0586">
        <w:rPr>
          <w:szCs w:val="24"/>
        </w:rPr>
        <w:t xml:space="preserve"> are no comments.</w:t>
      </w:r>
    </w:p>
    <w:p w14:paraId="12493BE4" w14:textId="77777777" w:rsidR="00E6415E" w:rsidRPr="006E0586" w:rsidRDefault="00E6415E" w:rsidP="00E6415E">
      <w:pPr>
        <w:pBdr>
          <w:top w:val="single" w:sz="2" w:space="1" w:color="FFFFFF"/>
          <w:left w:val="single" w:sz="2" w:space="0" w:color="FFFFFF"/>
          <w:bottom w:val="single" w:sz="2" w:space="2" w:color="FFFFFF"/>
          <w:right w:val="single" w:sz="2" w:space="4" w:color="FFFFFF"/>
        </w:pBdr>
        <w:tabs>
          <w:tab w:val="left" w:pos="567"/>
        </w:tabs>
        <w:ind w:right="141"/>
        <w:rPr>
          <w:rFonts w:cs="Arial"/>
          <w:iCs/>
          <w:szCs w:val="24"/>
        </w:rPr>
      </w:pPr>
    </w:p>
    <w:p w14:paraId="1E8B59BF" w14:textId="5A6D73F9" w:rsidR="00E6415E" w:rsidRPr="006E0586" w:rsidRDefault="00787AC0" w:rsidP="00E6415E">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rFonts w:cs="Arial"/>
          <w:szCs w:val="24"/>
        </w:rPr>
      </w:pPr>
      <w:r>
        <w:rPr>
          <w:rFonts w:cs="Arial"/>
          <w:szCs w:val="24"/>
        </w:rPr>
        <w:t>CHRIS SINNOTT</w:t>
      </w:r>
    </w:p>
    <w:p w14:paraId="62FEA58A" w14:textId="795BFB92" w:rsidR="00E6415E" w:rsidRPr="006E0586" w:rsidRDefault="00787AC0" w:rsidP="00E6415E">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rFonts w:cs="Arial"/>
          <w:szCs w:val="24"/>
        </w:rPr>
      </w:pPr>
      <w:r>
        <w:rPr>
          <w:rFonts w:cs="Arial"/>
          <w:szCs w:val="24"/>
        </w:rPr>
        <w:t xml:space="preserve">DEPUTY </w:t>
      </w:r>
      <w:r w:rsidR="00E6415E" w:rsidRPr="006E0586">
        <w:rPr>
          <w:rFonts w:cs="Arial"/>
          <w:szCs w:val="24"/>
        </w:rPr>
        <w:t>CHIEF EXECUTIVE</w:t>
      </w:r>
    </w:p>
    <w:p w14:paraId="5E217EF7" w14:textId="77777777" w:rsidR="00E6415E" w:rsidRPr="006E0586" w:rsidRDefault="00E6415E" w:rsidP="00E6415E">
      <w:pPr>
        <w:pBdr>
          <w:top w:val="single" w:sz="2" w:space="1" w:color="FFFFFF"/>
          <w:left w:val="single" w:sz="2" w:space="0" w:color="FFFFFF"/>
          <w:bottom w:val="single" w:sz="2" w:space="2" w:color="FFFFFF"/>
          <w:right w:val="single" w:sz="2" w:space="4" w:color="FFFFFF"/>
        </w:pBdr>
        <w:tabs>
          <w:tab w:val="left" w:pos="567"/>
          <w:tab w:val="left" w:pos="709"/>
        </w:tabs>
        <w:ind w:right="141"/>
        <w:rPr>
          <w:rFonts w:cs="Arial"/>
          <w:b/>
          <w:i/>
          <w:szCs w:val="24"/>
          <w:u w:val="single"/>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656"/>
        <w:gridCol w:w="1443"/>
        <w:gridCol w:w="435"/>
        <w:gridCol w:w="1573"/>
        <w:gridCol w:w="2525"/>
      </w:tblGrid>
      <w:tr w:rsidR="00BD26C9" w:rsidRPr="00B35C36" w14:paraId="396FBA6C" w14:textId="77777777" w:rsidTr="00C11BE3">
        <w:trPr>
          <w:gridAfter w:val="2"/>
          <w:wAfter w:w="4098" w:type="dxa"/>
          <w:trHeight w:hRule="exact" w:val="272"/>
        </w:trPr>
        <w:tc>
          <w:tcPr>
            <w:tcW w:w="1656" w:type="dxa"/>
            <w:tcBorders>
              <w:top w:val="nil"/>
              <w:left w:val="nil"/>
              <w:bottom w:val="single" w:sz="6" w:space="0" w:color="auto"/>
              <w:right w:val="nil"/>
            </w:tcBorders>
          </w:tcPr>
          <w:p w14:paraId="2962B80B" w14:textId="77777777" w:rsidR="00BD26C9" w:rsidRPr="00B35C36" w:rsidRDefault="00BD26C9" w:rsidP="00C11BE3">
            <w:pPr>
              <w:tabs>
                <w:tab w:val="left" w:pos="567"/>
              </w:tabs>
              <w:spacing w:before="40" w:after="40"/>
              <w:jc w:val="center"/>
              <w:rPr>
                <w:rFonts w:cs="Arial"/>
                <w:sz w:val="22"/>
                <w:szCs w:val="22"/>
              </w:rPr>
            </w:pPr>
          </w:p>
        </w:tc>
        <w:tc>
          <w:tcPr>
            <w:tcW w:w="1878" w:type="dxa"/>
            <w:gridSpan w:val="2"/>
            <w:tcBorders>
              <w:top w:val="nil"/>
              <w:left w:val="nil"/>
              <w:bottom w:val="single" w:sz="6" w:space="0" w:color="auto"/>
              <w:right w:val="nil"/>
            </w:tcBorders>
          </w:tcPr>
          <w:p w14:paraId="4B3B3511" w14:textId="77777777" w:rsidR="00BD26C9" w:rsidRPr="00B35C36" w:rsidRDefault="00BD26C9" w:rsidP="00C11BE3">
            <w:pPr>
              <w:tabs>
                <w:tab w:val="left" w:pos="567"/>
              </w:tabs>
              <w:spacing w:before="40" w:after="40"/>
              <w:jc w:val="center"/>
              <w:rPr>
                <w:rFonts w:cs="Arial"/>
                <w:sz w:val="22"/>
                <w:szCs w:val="22"/>
              </w:rPr>
            </w:pPr>
          </w:p>
        </w:tc>
      </w:tr>
      <w:tr w:rsidR="00BD26C9" w:rsidRPr="00B35C36" w14:paraId="508E347A" w14:textId="77777777" w:rsidTr="00C1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099" w:type="dxa"/>
            <w:gridSpan w:val="2"/>
            <w:vAlign w:val="center"/>
          </w:tcPr>
          <w:p w14:paraId="0E4F94A2" w14:textId="77777777" w:rsidR="00BD26C9" w:rsidRPr="00B35C36" w:rsidRDefault="00BD26C9" w:rsidP="00C11BE3">
            <w:pPr>
              <w:tabs>
                <w:tab w:val="left" w:pos="567"/>
              </w:tabs>
              <w:jc w:val="center"/>
              <w:rPr>
                <w:rFonts w:cs="Arial"/>
                <w:b/>
                <w:sz w:val="22"/>
                <w:szCs w:val="22"/>
              </w:rPr>
            </w:pPr>
            <w:r w:rsidRPr="00B35C36">
              <w:rPr>
                <w:rFonts w:cs="Arial"/>
                <w:b/>
                <w:sz w:val="22"/>
                <w:szCs w:val="22"/>
              </w:rPr>
              <w:t>Report Author</w:t>
            </w:r>
          </w:p>
        </w:tc>
        <w:tc>
          <w:tcPr>
            <w:tcW w:w="2008" w:type="dxa"/>
            <w:gridSpan w:val="2"/>
            <w:vAlign w:val="center"/>
          </w:tcPr>
          <w:p w14:paraId="5E57C331" w14:textId="77777777" w:rsidR="00BD26C9" w:rsidRPr="00B35C36" w:rsidRDefault="00BD26C9" w:rsidP="00C11BE3">
            <w:pPr>
              <w:tabs>
                <w:tab w:val="left" w:pos="567"/>
              </w:tabs>
              <w:jc w:val="center"/>
              <w:rPr>
                <w:rFonts w:cs="Arial"/>
                <w:b/>
                <w:sz w:val="22"/>
                <w:szCs w:val="22"/>
              </w:rPr>
            </w:pPr>
            <w:r w:rsidRPr="00B35C36">
              <w:rPr>
                <w:rFonts w:cs="Arial"/>
                <w:b/>
                <w:sz w:val="22"/>
                <w:szCs w:val="22"/>
              </w:rPr>
              <w:t>Date</w:t>
            </w:r>
          </w:p>
        </w:tc>
        <w:tc>
          <w:tcPr>
            <w:tcW w:w="2525" w:type="dxa"/>
            <w:vAlign w:val="center"/>
          </w:tcPr>
          <w:p w14:paraId="67E82988" w14:textId="77777777" w:rsidR="00BD26C9" w:rsidRPr="00B35C36" w:rsidRDefault="00BD26C9" w:rsidP="00C11BE3">
            <w:pPr>
              <w:tabs>
                <w:tab w:val="left" w:pos="567"/>
              </w:tabs>
              <w:jc w:val="center"/>
              <w:rPr>
                <w:rFonts w:cs="Arial"/>
                <w:b/>
                <w:sz w:val="22"/>
                <w:szCs w:val="22"/>
              </w:rPr>
            </w:pPr>
            <w:r w:rsidRPr="00B35C36">
              <w:rPr>
                <w:rFonts w:cs="Arial"/>
                <w:b/>
                <w:sz w:val="22"/>
                <w:szCs w:val="22"/>
              </w:rPr>
              <w:t>Doc ID</w:t>
            </w:r>
          </w:p>
        </w:tc>
      </w:tr>
      <w:tr w:rsidR="00BD26C9" w:rsidRPr="00B35C36" w14:paraId="04910E1D" w14:textId="77777777" w:rsidTr="00C1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099" w:type="dxa"/>
            <w:gridSpan w:val="2"/>
            <w:vAlign w:val="center"/>
          </w:tcPr>
          <w:p w14:paraId="7A7FFFA3" w14:textId="5C5AF9C2" w:rsidR="00BD26C9" w:rsidRPr="00B35C36" w:rsidRDefault="00BD26C9" w:rsidP="00C11BE3">
            <w:pPr>
              <w:tabs>
                <w:tab w:val="left" w:pos="567"/>
              </w:tabs>
              <w:jc w:val="center"/>
              <w:rPr>
                <w:rFonts w:cs="Arial"/>
                <w:sz w:val="22"/>
                <w:szCs w:val="22"/>
              </w:rPr>
            </w:pPr>
            <w:r>
              <w:rPr>
                <w:rFonts w:cs="Arial"/>
                <w:sz w:val="22"/>
                <w:szCs w:val="22"/>
              </w:rPr>
              <w:t>Sophie Tsang</w:t>
            </w:r>
          </w:p>
        </w:tc>
        <w:tc>
          <w:tcPr>
            <w:tcW w:w="2008" w:type="dxa"/>
            <w:gridSpan w:val="2"/>
            <w:vAlign w:val="center"/>
          </w:tcPr>
          <w:p w14:paraId="748EABA6" w14:textId="774C3402" w:rsidR="00BD26C9" w:rsidRPr="00B35C36" w:rsidRDefault="00787AC0" w:rsidP="00C11BE3">
            <w:pPr>
              <w:tabs>
                <w:tab w:val="left" w:pos="567"/>
              </w:tabs>
              <w:jc w:val="center"/>
              <w:rPr>
                <w:rFonts w:cs="Arial"/>
                <w:sz w:val="22"/>
                <w:szCs w:val="22"/>
              </w:rPr>
            </w:pPr>
            <w:r>
              <w:rPr>
                <w:rFonts w:cs="Arial"/>
                <w:sz w:val="22"/>
                <w:szCs w:val="22"/>
              </w:rPr>
              <w:t>11/02/2022</w:t>
            </w:r>
          </w:p>
        </w:tc>
        <w:tc>
          <w:tcPr>
            <w:tcW w:w="2525" w:type="dxa"/>
            <w:vAlign w:val="center"/>
          </w:tcPr>
          <w:p w14:paraId="205C00A2" w14:textId="77777777" w:rsidR="00BD26C9" w:rsidRPr="00B35C36" w:rsidRDefault="00BD26C9" w:rsidP="00C11BE3">
            <w:pPr>
              <w:tabs>
                <w:tab w:val="left" w:pos="567"/>
              </w:tabs>
              <w:jc w:val="center"/>
              <w:rPr>
                <w:rFonts w:cs="Arial"/>
                <w:sz w:val="22"/>
                <w:szCs w:val="22"/>
              </w:rPr>
            </w:pPr>
            <w:r>
              <w:rPr>
                <w:rFonts w:cs="Arial"/>
                <w:sz w:val="22"/>
                <w:szCs w:val="22"/>
              </w:rPr>
              <w:t>Budget Consultation Report 2022</w:t>
            </w:r>
          </w:p>
        </w:tc>
      </w:tr>
    </w:tbl>
    <w:p w14:paraId="4BD7180C" w14:textId="77777777" w:rsidR="00E6415E" w:rsidRDefault="00E6415E" w:rsidP="00E6415E">
      <w:pPr>
        <w:jc w:val="left"/>
        <w:rPr>
          <w:rFonts w:cs="Arial"/>
          <w:b/>
          <w:sz w:val="22"/>
          <w:szCs w:val="22"/>
        </w:rPr>
      </w:pPr>
    </w:p>
    <w:p w14:paraId="15C24FF7" w14:textId="77777777" w:rsidR="00E6415E" w:rsidRPr="00B35C36" w:rsidRDefault="00E6415E" w:rsidP="00E6415E">
      <w:pPr>
        <w:pBdr>
          <w:top w:val="single" w:sz="2" w:space="1" w:color="FFFFFF"/>
          <w:left w:val="single" w:sz="2" w:space="0" w:color="FFFFFF"/>
          <w:bottom w:val="single" w:sz="2" w:space="2" w:color="FFFFFF"/>
          <w:right w:val="single" w:sz="2" w:space="4" w:color="FFFFFF"/>
        </w:pBdr>
        <w:ind w:right="141"/>
        <w:rPr>
          <w:rFonts w:cs="Arial"/>
          <w:color w:val="FF0000"/>
          <w:sz w:val="22"/>
          <w:szCs w:val="22"/>
        </w:rPr>
        <w:sectPr w:rsidR="00E6415E" w:rsidRPr="00B35C36" w:rsidSect="00A2073E">
          <w:footerReference w:type="first" r:id="rId10"/>
          <w:pgSz w:w="11907" w:h="16840" w:code="9"/>
          <w:pgMar w:top="1134" w:right="1134" w:bottom="851" w:left="1134" w:header="680" w:footer="374" w:gutter="0"/>
          <w:paperSrc w:first="2" w:other="2"/>
          <w:cols w:space="720"/>
          <w:titlePg/>
        </w:sectPr>
      </w:pPr>
    </w:p>
    <w:p w14:paraId="5A8274C5" w14:textId="77777777" w:rsidR="00E6415E" w:rsidRPr="006E0586" w:rsidRDefault="00E6415E" w:rsidP="00E6415E">
      <w:pPr>
        <w:jc w:val="left"/>
        <w:rPr>
          <w:rFonts w:cs="Arial"/>
          <w:b/>
          <w:bCs/>
          <w:szCs w:val="24"/>
        </w:rPr>
      </w:pPr>
      <w:r w:rsidRPr="006E0586">
        <w:rPr>
          <w:rFonts w:cs="Arial"/>
          <w:b/>
          <w:bCs/>
          <w:szCs w:val="24"/>
        </w:rPr>
        <w:lastRenderedPageBreak/>
        <w:t xml:space="preserve">APPENDIX A – Investment Priorities </w:t>
      </w:r>
      <w:r>
        <w:rPr>
          <w:rFonts w:cs="Arial"/>
          <w:b/>
          <w:bCs/>
          <w:szCs w:val="24"/>
        </w:rPr>
        <w:t xml:space="preserve">(Part One)  </w:t>
      </w:r>
    </w:p>
    <w:p w14:paraId="59C692B1" w14:textId="77777777" w:rsidR="00E6415E" w:rsidRDefault="00E6415E" w:rsidP="00E6415E">
      <w:pPr>
        <w:jc w:val="left"/>
        <w:rPr>
          <w:rFonts w:cs="Arial"/>
          <w:szCs w:val="24"/>
        </w:rPr>
      </w:pPr>
    </w:p>
    <w:p w14:paraId="31F66412" w14:textId="77777777" w:rsidR="00E6415E" w:rsidRDefault="00E6415E" w:rsidP="00E6415E">
      <w:pPr>
        <w:jc w:val="left"/>
        <w:rPr>
          <w:rFonts w:cs="Arial"/>
          <w:lang w:val="en-US"/>
        </w:rPr>
      </w:pPr>
      <w:r>
        <w:rPr>
          <w:rFonts w:cs="Arial"/>
          <w:szCs w:val="24"/>
        </w:rPr>
        <w:t xml:space="preserve">The table below presents the response received to part one of the survey, where participants were presented with several categories and </w:t>
      </w:r>
      <w:r w:rsidRPr="001B7561">
        <w:rPr>
          <w:rFonts w:cs="Arial"/>
          <w:lang w:val="en-US"/>
        </w:rPr>
        <w:t>asked to rank on a scale of one (‘low priority’) to five (‘high priority’) what should be prioritised when allocating funding</w:t>
      </w:r>
      <w:r>
        <w:rPr>
          <w:rFonts w:cs="Arial"/>
          <w:lang w:val="en-US"/>
        </w:rPr>
        <w:t>:</w:t>
      </w:r>
    </w:p>
    <w:p w14:paraId="5469E339" w14:textId="77777777" w:rsidR="00E6415E" w:rsidRDefault="00E6415E" w:rsidP="00E6415E">
      <w:pPr>
        <w:jc w:val="left"/>
        <w:rPr>
          <w:rFonts w:cs="Arial"/>
          <w:lang w:val="en-US"/>
        </w:rPr>
      </w:pPr>
      <w:r>
        <w:rPr>
          <w:rFonts w:cs="Arial"/>
          <w:lang w:val="en-US"/>
        </w:rPr>
        <w:t xml:space="preserve"> </w:t>
      </w:r>
    </w:p>
    <w:tbl>
      <w:tblPr>
        <w:tblStyle w:val="TableGrid1"/>
        <w:tblpPr w:leftFromText="180" w:rightFromText="180" w:vertAnchor="text" w:horzAnchor="page" w:tblpX="1604" w:tblpY="171"/>
        <w:tblW w:w="2876" w:type="pct"/>
        <w:tblLook w:val="04A0" w:firstRow="1" w:lastRow="0" w:firstColumn="1" w:lastColumn="0" w:noHBand="0" w:noVBand="1"/>
      </w:tblPr>
      <w:tblGrid>
        <w:gridCol w:w="3989"/>
        <w:gridCol w:w="1550"/>
      </w:tblGrid>
      <w:tr w:rsidR="00064F8C" w:rsidRPr="006E0586" w14:paraId="05CE9201" w14:textId="77777777" w:rsidTr="00064F8C">
        <w:trPr>
          <w:trHeight w:val="967"/>
        </w:trPr>
        <w:tc>
          <w:tcPr>
            <w:tcW w:w="3601" w:type="pct"/>
            <w:vAlign w:val="center"/>
            <w:hideMark/>
          </w:tcPr>
          <w:p w14:paraId="4807228D" w14:textId="77777777" w:rsidR="00064F8C" w:rsidRPr="006E0586" w:rsidRDefault="00064F8C" w:rsidP="00717FB2">
            <w:pPr>
              <w:jc w:val="left"/>
              <w:rPr>
                <w:rFonts w:cs="Arial"/>
                <w:b/>
                <w:bCs/>
                <w:color w:val="000000"/>
                <w:sz w:val="22"/>
                <w:lang w:eastAsia="en-GB"/>
              </w:rPr>
            </w:pPr>
            <w:r w:rsidRPr="006E0586">
              <w:rPr>
                <w:rFonts w:cs="Arial"/>
                <w:b/>
                <w:bCs/>
                <w:color w:val="000000"/>
                <w:sz w:val="22"/>
                <w:lang w:eastAsia="en-GB"/>
              </w:rPr>
              <w:t>I want the council to allocate money to:</w:t>
            </w:r>
          </w:p>
        </w:tc>
        <w:tc>
          <w:tcPr>
            <w:tcW w:w="1399" w:type="pct"/>
            <w:vAlign w:val="center"/>
            <w:hideMark/>
          </w:tcPr>
          <w:p w14:paraId="54C55283" w14:textId="77777777" w:rsidR="00064F8C" w:rsidRPr="006E0586" w:rsidRDefault="00064F8C" w:rsidP="00717FB2">
            <w:pPr>
              <w:jc w:val="center"/>
              <w:rPr>
                <w:rFonts w:cs="Arial"/>
                <w:b/>
                <w:bCs/>
                <w:color w:val="000000"/>
                <w:sz w:val="22"/>
                <w:lang w:eastAsia="en-GB"/>
              </w:rPr>
            </w:pPr>
            <w:r w:rsidRPr="006E0586">
              <w:rPr>
                <w:rFonts w:cs="Arial"/>
                <w:b/>
                <w:bCs/>
                <w:color w:val="000000"/>
                <w:sz w:val="22"/>
                <w:lang w:eastAsia="en-GB"/>
              </w:rPr>
              <w:t>Responses scoring 4 or 5 (Percentage)</w:t>
            </w:r>
          </w:p>
        </w:tc>
      </w:tr>
      <w:tr w:rsidR="0059643E" w:rsidRPr="006E0586" w14:paraId="157FE44A" w14:textId="77777777" w:rsidTr="00064F8C">
        <w:trPr>
          <w:trHeight w:val="856"/>
        </w:trPr>
        <w:tc>
          <w:tcPr>
            <w:tcW w:w="3601" w:type="pct"/>
            <w:vAlign w:val="center"/>
            <w:hideMark/>
          </w:tcPr>
          <w:p w14:paraId="26C8852E" w14:textId="216D522E" w:rsidR="0059643E" w:rsidRPr="006E0586" w:rsidRDefault="0059643E" w:rsidP="00717FB2">
            <w:pPr>
              <w:jc w:val="left"/>
              <w:rPr>
                <w:rFonts w:cs="Arial"/>
                <w:color w:val="000000"/>
                <w:sz w:val="22"/>
                <w:lang w:eastAsia="en-GB"/>
              </w:rPr>
            </w:pPr>
            <w:r>
              <w:rPr>
                <w:rFonts w:cs="Arial"/>
                <w:color w:val="000000"/>
                <w:sz w:val="22"/>
                <w:lang w:eastAsia="en-GB"/>
              </w:rPr>
              <w:t xml:space="preserve">Work to target </w:t>
            </w:r>
            <w:r w:rsidR="00270414">
              <w:rPr>
                <w:rFonts w:cs="Arial"/>
                <w:color w:val="000000"/>
                <w:sz w:val="22"/>
                <w:lang w:eastAsia="en-GB"/>
              </w:rPr>
              <w:t>fly-tipping</w:t>
            </w:r>
            <w:r>
              <w:rPr>
                <w:rFonts w:cs="Arial"/>
                <w:color w:val="000000"/>
                <w:sz w:val="22"/>
                <w:lang w:eastAsia="en-GB"/>
              </w:rPr>
              <w:t xml:space="preserve"> and environmental improvements</w:t>
            </w:r>
          </w:p>
        </w:tc>
        <w:tc>
          <w:tcPr>
            <w:tcW w:w="1399" w:type="pct"/>
            <w:noWrap/>
            <w:vAlign w:val="center"/>
            <w:hideMark/>
          </w:tcPr>
          <w:p w14:paraId="75A9FDF0" w14:textId="77777777" w:rsidR="0059643E" w:rsidRPr="006E0586" w:rsidRDefault="0059643E" w:rsidP="00916F26">
            <w:pPr>
              <w:jc w:val="center"/>
              <w:rPr>
                <w:rFonts w:cs="Arial"/>
                <w:color w:val="000000"/>
                <w:sz w:val="22"/>
                <w:lang w:eastAsia="en-GB"/>
              </w:rPr>
            </w:pPr>
            <w:r>
              <w:rPr>
                <w:rFonts w:cs="Arial"/>
                <w:color w:val="000000"/>
                <w:sz w:val="22"/>
                <w:lang w:eastAsia="en-GB"/>
              </w:rPr>
              <w:t>79</w:t>
            </w:r>
            <w:r w:rsidRPr="006E0586">
              <w:rPr>
                <w:rFonts w:cs="Arial"/>
                <w:color w:val="000000"/>
                <w:sz w:val="22"/>
                <w:lang w:eastAsia="en-GB"/>
              </w:rPr>
              <w:t>%</w:t>
            </w:r>
          </w:p>
        </w:tc>
      </w:tr>
      <w:tr w:rsidR="0059643E" w:rsidRPr="006E0586" w14:paraId="652D71FC" w14:textId="77777777" w:rsidTr="00064F8C">
        <w:trPr>
          <w:trHeight w:val="575"/>
        </w:trPr>
        <w:tc>
          <w:tcPr>
            <w:tcW w:w="3601" w:type="pct"/>
            <w:vAlign w:val="center"/>
            <w:hideMark/>
          </w:tcPr>
          <w:p w14:paraId="6665A759" w14:textId="77777777" w:rsidR="0059643E" w:rsidRPr="006E0586" w:rsidRDefault="0059643E" w:rsidP="00717FB2">
            <w:pPr>
              <w:jc w:val="left"/>
              <w:rPr>
                <w:rFonts w:cs="Arial"/>
                <w:color w:val="000000"/>
                <w:sz w:val="22"/>
                <w:lang w:eastAsia="en-GB"/>
              </w:rPr>
            </w:pPr>
            <w:r>
              <w:rPr>
                <w:rFonts w:cs="Arial"/>
                <w:color w:val="000000"/>
                <w:sz w:val="22"/>
                <w:lang w:eastAsia="en-GB"/>
              </w:rPr>
              <w:t>Taking steps to retain wealth within the borough through local job creation</w:t>
            </w:r>
          </w:p>
        </w:tc>
        <w:tc>
          <w:tcPr>
            <w:tcW w:w="1399" w:type="pct"/>
            <w:noWrap/>
            <w:vAlign w:val="center"/>
            <w:hideMark/>
          </w:tcPr>
          <w:p w14:paraId="64D1F193" w14:textId="77777777" w:rsidR="0059643E" w:rsidRPr="006E0586" w:rsidRDefault="0059643E" w:rsidP="00916F26">
            <w:pPr>
              <w:jc w:val="center"/>
              <w:rPr>
                <w:rFonts w:cs="Arial"/>
                <w:color w:val="000000"/>
                <w:sz w:val="22"/>
                <w:lang w:eastAsia="en-GB"/>
              </w:rPr>
            </w:pPr>
            <w:r>
              <w:rPr>
                <w:rFonts w:cs="Arial"/>
                <w:color w:val="000000"/>
                <w:sz w:val="22"/>
                <w:lang w:eastAsia="en-GB"/>
              </w:rPr>
              <w:t>72</w:t>
            </w:r>
            <w:r w:rsidRPr="006E0586">
              <w:rPr>
                <w:rFonts w:cs="Arial"/>
                <w:color w:val="000000"/>
                <w:sz w:val="22"/>
                <w:lang w:eastAsia="en-GB"/>
              </w:rPr>
              <w:t>%</w:t>
            </w:r>
          </w:p>
        </w:tc>
      </w:tr>
      <w:tr w:rsidR="0059643E" w:rsidRPr="006E0586" w14:paraId="38327CF3" w14:textId="77777777" w:rsidTr="00064F8C">
        <w:trPr>
          <w:trHeight w:val="575"/>
        </w:trPr>
        <w:tc>
          <w:tcPr>
            <w:tcW w:w="3601" w:type="pct"/>
            <w:vAlign w:val="center"/>
            <w:hideMark/>
          </w:tcPr>
          <w:p w14:paraId="1B7ACBBB" w14:textId="77777777" w:rsidR="0059643E" w:rsidRPr="006E0586" w:rsidRDefault="0059643E" w:rsidP="00717FB2">
            <w:pPr>
              <w:jc w:val="left"/>
              <w:rPr>
                <w:rFonts w:cs="Arial"/>
                <w:color w:val="000000"/>
                <w:sz w:val="22"/>
                <w:lang w:eastAsia="en-GB"/>
              </w:rPr>
            </w:pPr>
            <w:r>
              <w:rPr>
                <w:rFonts w:cs="Arial"/>
                <w:color w:val="000000"/>
                <w:sz w:val="22"/>
                <w:lang w:eastAsia="en-GB"/>
              </w:rPr>
              <w:t>Improvements to play areas and open spaces across the borough</w:t>
            </w:r>
            <w:r w:rsidRPr="006E0586">
              <w:rPr>
                <w:rFonts w:cs="Arial"/>
                <w:color w:val="000000"/>
                <w:sz w:val="22"/>
                <w:lang w:eastAsia="en-GB"/>
              </w:rPr>
              <w:t xml:space="preserve"> </w:t>
            </w:r>
          </w:p>
        </w:tc>
        <w:tc>
          <w:tcPr>
            <w:tcW w:w="1399" w:type="pct"/>
            <w:noWrap/>
            <w:vAlign w:val="center"/>
            <w:hideMark/>
          </w:tcPr>
          <w:p w14:paraId="50E69016" w14:textId="77777777" w:rsidR="0059643E" w:rsidRPr="006E0586" w:rsidRDefault="0059643E" w:rsidP="00916F26">
            <w:pPr>
              <w:jc w:val="center"/>
              <w:rPr>
                <w:rFonts w:cs="Arial"/>
                <w:color w:val="000000"/>
                <w:sz w:val="22"/>
                <w:lang w:eastAsia="en-GB"/>
              </w:rPr>
            </w:pPr>
            <w:r>
              <w:rPr>
                <w:rFonts w:cs="Arial"/>
                <w:color w:val="000000"/>
                <w:sz w:val="22"/>
                <w:lang w:eastAsia="en-GB"/>
              </w:rPr>
              <w:t>69</w:t>
            </w:r>
            <w:r w:rsidRPr="006E0586">
              <w:rPr>
                <w:rFonts w:cs="Arial"/>
                <w:color w:val="000000"/>
                <w:sz w:val="22"/>
                <w:lang w:eastAsia="en-GB"/>
              </w:rPr>
              <w:t>%</w:t>
            </w:r>
          </w:p>
        </w:tc>
      </w:tr>
      <w:tr w:rsidR="0059643E" w:rsidRPr="006E0586" w14:paraId="2F18B406" w14:textId="77777777" w:rsidTr="00064F8C">
        <w:trPr>
          <w:trHeight w:val="575"/>
        </w:trPr>
        <w:tc>
          <w:tcPr>
            <w:tcW w:w="3601" w:type="pct"/>
            <w:vAlign w:val="center"/>
            <w:hideMark/>
          </w:tcPr>
          <w:p w14:paraId="03F051C5" w14:textId="77777777" w:rsidR="0059643E" w:rsidRPr="006E0586" w:rsidRDefault="0059643E" w:rsidP="00717FB2">
            <w:pPr>
              <w:jc w:val="left"/>
              <w:rPr>
                <w:rFonts w:cs="Arial"/>
                <w:color w:val="000000"/>
                <w:sz w:val="22"/>
                <w:lang w:eastAsia="en-GB"/>
              </w:rPr>
            </w:pPr>
            <w:r>
              <w:rPr>
                <w:rFonts w:cs="Arial"/>
                <w:color w:val="000000"/>
                <w:sz w:val="22"/>
                <w:lang w:eastAsia="en-GB"/>
              </w:rPr>
              <w:t>Delivering excellent leisure services and running leisure centres efficiently</w:t>
            </w:r>
          </w:p>
        </w:tc>
        <w:tc>
          <w:tcPr>
            <w:tcW w:w="1399" w:type="pct"/>
            <w:noWrap/>
            <w:vAlign w:val="center"/>
            <w:hideMark/>
          </w:tcPr>
          <w:p w14:paraId="357D9DBA" w14:textId="77777777" w:rsidR="0059643E" w:rsidRPr="006E0586" w:rsidRDefault="0059643E" w:rsidP="00916F26">
            <w:pPr>
              <w:jc w:val="center"/>
              <w:rPr>
                <w:rFonts w:cs="Arial"/>
                <w:color w:val="000000"/>
                <w:sz w:val="22"/>
                <w:lang w:eastAsia="en-GB"/>
              </w:rPr>
            </w:pPr>
            <w:r>
              <w:rPr>
                <w:rFonts w:cs="Arial"/>
                <w:color w:val="000000"/>
                <w:sz w:val="22"/>
                <w:lang w:eastAsia="en-GB"/>
              </w:rPr>
              <w:t>68</w:t>
            </w:r>
            <w:r w:rsidRPr="006E0586">
              <w:rPr>
                <w:rFonts w:cs="Arial"/>
                <w:color w:val="000000"/>
                <w:sz w:val="22"/>
                <w:lang w:eastAsia="en-GB"/>
              </w:rPr>
              <w:t>%</w:t>
            </w:r>
          </w:p>
        </w:tc>
      </w:tr>
      <w:tr w:rsidR="0059643E" w:rsidRPr="006E0586" w14:paraId="48D9E8B8" w14:textId="77777777" w:rsidTr="00064F8C">
        <w:trPr>
          <w:trHeight w:val="856"/>
        </w:trPr>
        <w:tc>
          <w:tcPr>
            <w:tcW w:w="3601" w:type="pct"/>
            <w:vAlign w:val="center"/>
            <w:hideMark/>
          </w:tcPr>
          <w:p w14:paraId="61BF20A5" w14:textId="77777777" w:rsidR="0059643E" w:rsidRPr="006E0586" w:rsidRDefault="0059643E" w:rsidP="00717FB2">
            <w:pPr>
              <w:jc w:val="left"/>
              <w:rPr>
                <w:rFonts w:cs="Arial"/>
                <w:color w:val="000000"/>
                <w:sz w:val="22"/>
                <w:lang w:eastAsia="en-GB"/>
              </w:rPr>
            </w:pPr>
            <w:r w:rsidRPr="006E0586">
              <w:rPr>
                <w:rFonts w:cs="Arial"/>
                <w:color w:val="000000"/>
                <w:sz w:val="22"/>
                <w:lang w:eastAsia="en-GB"/>
              </w:rPr>
              <w:t xml:space="preserve">Support </w:t>
            </w:r>
            <w:r>
              <w:rPr>
                <w:rFonts w:cs="Arial"/>
                <w:color w:val="000000"/>
                <w:sz w:val="22"/>
                <w:lang w:eastAsia="en-GB"/>
              </w:rPr>
              <w:t>communities and community facilities to thrive through the community hub boost fund</w:t>
            </w:r>
          </w:p>
        </w:tc>
        <w:tc>
          <w:tcPr>
            <w:tcW w:w="1399" w:type="pct"/>
            <w:noWrap/>
            <w:vAlign w:val="center"/>
            <w:hideMark/>
          </w:tcPr>
          <w:p w14:paraId="7C544B4E" w14:textId="77777777" w:rsidR="0059643E" w:rsidRPr="006E0586" w:rsidRDefault="0059643E" w:rsidP="00916F26">
            <w:pPr>
              <w:jc w:val="center"/>
              <w:rPr>
                <w:rFonts w:cs="Arial"/>
                <w:color w:val="000000"/>
                <w:sz w:val="22"/>
                <w:lang w:eastAsia="en-GB"/>
              </w:rPr>
            </w:pPr>
            <w:r>
              <w:rPr>
                <w:rFonts w:cs="Arial"/>
                <w:color w:val="000000"/>
                <w:sz w:val="22"/>
                <w:lang w:eastAsia="en-GB"/>
              </w:rPr>
              <w:t>63</w:t>
            </w:r>
            <w:r w:rsidRPr="006E0586">
              <w:rPr>
                <w:rFonts w:cs="Arial"/>
                <w:color w:val="000000"/>
                <w:sz w:val="22"/>
                <w:lang w:eastAsia="en-GB"/>
              </w:rPr>
              <w:t>%</w:t>
            </w:r>
          </w:p>
        </w:tc>
      </w:tr>
      <w:tr w:rsidR="0059643E" w:rsidRPr="006E0586" w14:paraId="403036D8" w14:textId="77777777" w:rsidTr="00064F8C">
        <w:trPr>
          <w:trHeight w:val="575"/>
        </w:trPr>
        <w:tc>
          <w:tcPr>
            <w:tcW w:w="3601" w:type="pct"/>
            <w:vAlign w:val="center"/>
            <w:hideMark/>
          </w:tcPr>
          <w:p w14:paraId="6AC1BE92" w14:textId="77777777" w:rsidR="0059643E" w:rsidRPr="006E0586" w:rsidRDefault="0059643E" w:rsidP="00717FB2">
            <w:pPr>
              <w:jc w:val="left"/>
              <w:rPr>
                <w:rFonts w:cs="Arial"/>
                <w:color w:val="000000"/>
                <w:sz w:val="22"/>
                <w:lang w:eastAsia="en-GB"/>
              </w:rPr>
            </w:pPr>
            <w:r w:rsidRPr="006E0586">
              <w:rPr>
                <w:rFonts w:cs="Arial"/>
                <w:color w:val="000000"/>
                <w:sz w:val="22"/>
                <w:lang w:eastAsia="en-GB"/>
              </w:rPr>
              <w:t xml:space="preserve">Supporting businesses to get back on their feet after </w:t>
            </w:r>
            <w:proofErr w:type="spellStart"/>
            <w:r w:rsidRPr="006E0586">
              <w:rPr>
                <w:rFonts w:cs="Arial"/>
                <w:color w:val="000000"/>
                <w:sz w:val="22"/>
                <w:lang w:eastAsia="en-GB"/>
              </w:rPr>
              <w:t>Covid</w:t>
            </w:r>
            <w:proofErr w:type="spellEnd"/>
          </w:p>
        </w:tc>
        <w:tc>
          <w:tcPr>
            <w:tcW w:w="1399" w:type="pct"/>
            <w:noWrap/>
            <w:vAlign w:val="center"/>
            <w:hideMark/>
          </w:tcPr>
          <w:p w14:paraId="25B8DE2D" w14:textId="77777777" w:rsidR="0059643E" w:rsidRPr="006E0586" w:rsidRDefault="0059643E" w:rsidP="00916F26">
            <w:pPr>
              <w:jc w:val="center"/>
              <w:rPr>
                <w:rFonts w:cs="Arial"/>
                <w:color w:val="000000"/>
                <w:sz w:val="22"/>
                <w:lang w:eastAsia="en-GB"/>
              </w:rPr>
            </w:pPr>
            <w:r>
              <w:rPr>
                <w:rFonts w:cs="Arial"/>
                <w:color w:val="000000"/>
                <w:sz w:val="22"/>
                <w:lang w:eastAsia="en-GB"/>
              </w:rPr>
              <w:t>53</w:t>
            </w:r>
            <w:r w:rsidRPr="006E0586">
              <w:rPr>
                <w:rFonts w:cs="Arial"/>
                <w:color w:val="000000"/>
                <w:sz w:val="22"/>
                <w:lang w:eastAsia="en-GB"/>
              </w:rPr>
              <w:t>%</w:t>
            </w:r>
          </w:p>
        </w:tc>
      </w:tr>
      <w:tr w:rsidR="0059643E" w:rsidRPr="006E0586" w14:paraId="060D3EAC" w14:textId="77777777" w:rsidTr="00064F8C">
        <w:trPr>
          <w:trHeight w:val="856"/>
        </w:trPr>
        <w:tc>
          <w:tcPr>
            <w:tcW w:w="3601" w:type="pct"/>
            <w:vAlign w:val="center"/>
            <w:hideMark/>
          </w:tcPr>
          <w:p w14:paraId="14B4D5C9" w14:textId="77777777" w:rsidR="0059643E" w:rsidRPr="006E0586" w:rsidRDefault="0059643E" w:rsidP="00717FB2">
            <w:pPr>
              <w:jc w:val="left"/>
              <w:rPr>
                <w:rFonts w:cs="Arial"/>
                <w:color w:val="000000"/>
                <w:sz w:val="22"/>
                <w:lang w:eastAsia="en-GB"/>
              </w:rPr>
            </w:pPr>
            <w:r>
              <w:rPr>
                <w:rFonts w:cs="Arial"/>
                <w:color w:val="000000"/>
                <w:sz w:val="22"/>
                <w:lang w:eastAsia="en-GB"/>
              </w:rPr>
              <w:t>Support the development of affordable homes</w:t>
            </w:r>
          </w:p>
        </w:tc>
        <w:tc>
          <w:tcPr>
            <w:tcW w:w="1399" w:type="pct"/>
            <w:noWrap/>
            <w:vAlign w:val="center"/>
            <w:hideMark/>
          </w:tcPr>
          <w:p w14:paraId="787A4746" w14:textId="77777777" w:rsidR="0059643E" w:rsidRPr="006E0586" w:rsidRDefault="0059643E" w:rsidP="00916F26">
            <w:pPr>
              <w:jc w:val="center"/>
              <w:rPr>
                <w:rFonts w:cs="Arial"/>
                <w:color w:val="000000"/>
                <w:sz w:val="22"/>
                <w:lang w:eastAsia="en-GB"/>
              </w:rPr>
            </w:pPr>
            <w:r>
              <w:rPr>
                <w:rFonts w:cs="Arial"/>
                <w:color w:val="000000"/>
                <w:sz w:val="22"/>
                <w:lang w:eastAsia="en-GB"/>
              </w:rPr>
              <w:t>42</w:t>
            </w:r>
            <w:r w:rsidRPr="006E0586">
              <w:rPr>
                <w:rFonts w:cs="Arial"/>
                <w:color w:val="000000"/>
                <w:sz w:val="22"/>
                <w:lang w:eastAsia="en-GB"/>
              </w:rPr>
              <w:t>%</w:t>
            </w:r>
          </w:p>
        </w:tc>
      </w:tr>
      <w:tr w:rsidR="0059643E" w:rsidRPr="006E0586" w14:paraId="709B5F93" w14:textId="77777777" w:rsidTr="00064F8C">
        <w:trPr>
          <w:trHeight w:val="575"/>
        </w:trPr>
        <w:tc>
          <w:tcPr>
            <w:tcW w:w="3601" w:type="pct"/>
            <w:vAlign w:val="center"/>
            <w:hideMark/>
          </w:tcPr>
          <w:p w14:paraId="4529F1E0" w14:textId="77777777" w:rsidR="0059643E" w:rsidRPr="006E0586" w:rsidRDefault="0059643E" w:rsidP="00717FB2">
            <w:pPr>
              <w:jc w:val="left"/>
              <w:rPr>
                <w:rFonts w:cs="Arial"/>
                <w:color w:val="000000"/>
                <w:sz w:val="22"/>
                <w:lang w:eastAsia="en-GB"/>
              </w:rPr>
            </w:pPr>
            <w:r>
              <w:rPr>
                <w:rFonts w:cs="Arial"/>
                <w:color w:val="000000"/>
                <w:sz w:val="22"/>
                <w:lang w:eastAsia="en-GB"/>
              </w:rPr>
              <w:t>Improving Leyland town centre including delivering the plans set out in the Town Deal</w:t>
            </w:r>
          </w:p>
        </w:tc>
        <w:tc>
          <w:tcPr>
            <w:tcW w:w="1399" w:type="pct"/>
            <w:noWrap/>
            <w:vAlign w:val="center"/>
            <w:hideMark/>
          </w:tcPr>
          <w:p w14:paraId="7530EA59" w14:textId="77777777" w:rsidR="0059643E" w:rsidRPr="006E0586" w:rsidRDefault="0059643E" w:rsidP="00916F26">
            <w:pPr>
              <w:jc w:val="center"/>
              <w:rPr>
                <w:rFonts w:cs="Arial"/>
                <w:color w:val="000000"/>
                <w:sz w:val="22"/>
                <w:lang w:eastAsia="en-GB"/>
              </w:rPr>
            </w:pPr>
            <w:r>
              <w:rPr>
                <w:rFonts w:cs="Arial"/>
                <w:color w:val="000000"/>
                <w:sz w:val="22"/>
                <w:lang w:eastAsia="en-GB"/>
              </w:rPr>
              <w:t>36</w:t>
            </w:r>
            <w:r w:rsidRPr="006E0586">
              <w:rPr>
                <w:rFonts w:cs="Arial"/>
                <w:color w:val="000000"/>
                <w:sz w:val="22"/>
                <w:lang w:eastAsia="en-GB"/>
              </w:rPr>
              <w:t>%</w:t>
            </w:r>
          </w:p>
        </w:tc>
      </w:tr>
    </w:tbl>
    <w:p w14:paraId="27CDBA93" w14:textId="77777777" w:rsidR="00E6415E" w:rsidRDefault="00E6415E" w:rsidP="00E6415E">
      <w:pPr>
        <w:jc w:val="left"/>
        <w:rPr>
          <w:rFonts w:cs="Arial"/>
          <w:lang w:val="en-US"/>
        </w:rPr>
      </w:pPr>
    </w:p>
    <w:p w14:paraId="1A7B5F63" w14:textId="77777777" w:rsidR="00E6415E" w:rsidRPr="006A163D" w:rsidRDefault="00E6415E" w:rsidP="00E6415E">
      <w:pPr>
        <w:jc w:val="left"/>
        <w:rPr>
          <w:rFonts w:cs="Arial"/>
          <w:szCs w:val="24"/>
        </w:rPr>
      </w:pPr>
    </w:p>
    <w:p w14:paraId="0A072578" w14:textId="77777777" w:rsidR="00E6415E" w:rsidRDefault="00E6415E" w:rsidP="00E6415E">
      <w:pPr>
        <w:jc w:val="left"/>
        <w:rPr>
          <w:rFonts w:cs="Arial"/>
          <w:sz w:val="20"/>
          <w:szCs w:val="22"/>
        </w:rPr>
      </w:pPr>
    </w:p>
    <w:p w14:paraId="4F353187" w14:textId="7EB4FFB1" w:rsidR="00E6415E" w:rsidRDefault="00E6415E" w:rsidP="00E6415E">
      <w:pPr>
        <w:jc w:val="left"/>
        <w:rPr>
          <w:rFonts w:cs="Arial"/>
          <w:sz w:val="20"/>
          <w:szCs w:val="22"/>
        </w:rPr>
      </w:pPr>
    </w:p>
    <w:p w14:paraId="00C225B0" w14:textId="332C7222" w:rsidR="00064F8C" w:rsidRDefault="00064F8C" w:rsidP="00E6415E">
      <w:pPr>
        <w:jc w:val="left"/>
        <w:rPr>
          <w:rFonts w:cs="Arial"/>
          <w:sz w:val="20"/>
          <w:szCs w:val="22"/>
        </w:rPr>
      </w:pPr>
    </w:p>
    <w:p w14:paraId="4B2347BC" w14:textId="2383E448" w:rsidR="00064F8C" w:rsidRDefault="00064F8C" w:rsidP="00E6415E">
      <w:pPr>
        <w:jc w:val="left"/>
        <w:rPr>
          <w:rFonts w:cs="Arial"/>
          <w:sz w:val="20"/>
          <w:szCs w:val="22"/>
        </w:rPr>
      </w:pPr>
    </w:p>
    <w:p w14:paraId="15D96C62" w14:textId="511FB75A" w:rsidR="00064F8C" w:rsidRDefault="00064F8C" w:rsidP="00E6415E">
      <w:pPr>
        <w:jc w:val="left"/>
        <w:rPr>
          <w:rFonts w:cs="Arial"/>
          <w:sz w:val="20"/>
          <w:szCs w:val="22"/>
        </w:rPr>
      </w:pPr>
    </w:p>
    <w:p w14:paraId="48C9EA09" w14:textId="05243C28" w:rsidR="00064F8C" w:rsidRDefault="00064F8C" w:rsidP="00E6415E">
      <w:pPr>
        <w:jc w:val="left"/>
        <w:rPr>
          <w:rFonts w:cs="Arial"/>
          <w:sz w:val="20"/>
          <w:szCs w:val="22"/>
        </w:rPr>
      </w:pPr>
    </w:p>
    <w:p w14:paraId="5A2478B0" w14:textId="4436CD95" w:rsidR="00064F8C" w:rsidRDefault="00064F8C" w:rsidP="00E6415E">
      <w:pPr>
        <w:jc w:val="left"/>
        <w:rPr>
          <w:rFonts w:cs="Arial"/>
          <w:sz w:val="20"/>
          <w:szCs w:val="22"/>
        </w:rPr>
      </w:pPr>
    </w:p>
    <w:p w14:paraId="05799836" w14:textId="24D1033F" w:rsidR="00064F8C" w:rsidRDefault="00064F8C" w:rsidP="00E6415E">
      <w:pPr>
        <w:jc w:val="left"/>
        <w:rPr>
          <w:rFonts w:cs="Arial"/>
          <w:sz w:val="20"/>
          <w:szCs w:val="22"/>
        </w:rPr>
      </w:pPr>
    </w:p>
    <w:p w14:paraId="01764123" w14:textId="30AD8680" w:rsidR="00064F8C" w:rsidRDefault="00064F8C" w:rsidP="00E6415E">
      <w:pPr>
        <w:jc w:val="left"/>
        <w:rPr>
          <w:rFonts w:cs="Arial"/>
          <w:sz w:val="20"/>
          <w:szCs w:val="22"/>
        </w:rPr>
      </w:pPr>
    </w:p>
    <w:p w14:paraId="0C0DAB7B" w14:textId="03783789" w:rsidR="00064F8C" w:rsidRDefault="00064F8C" w:rsidP="00E6415E">
      <w:pPr>
        <w:jc w:val="left"/>
        <w:rPr>
          <w:rFonts w:cs="Arial"/>
          <w:sz w:val="20"/>
          <w:szCs w:val="22"/>
        </w:rPr>
      </w:pPr>
    </w:p>
    <w:p w14:paraId="35F73430" w14:textId="6799D41D" w:rsidR="00064F8C" w:rsidRDefault="00064F8C" w:rsidP="00E6415E">
      <w:pPr>
        <w:jc w:val="left"/>
        <w:rPr>
          <w:rFonts w:cs="Arial"/>
          <w:sz w:val="20"/>
          <w:szCs w:val="22"/>
        </w:rPr>
      </w:pPr>
    </w:p>
    <w:p w14:paraId="136B4763" w14:textId="159E5531" w:rsidR="00064F8C" w:rsidRDefault="00064F8C" w:rsidP="00E6415E">
      <w:pPr>
        <w:jc w:val="left"/>
        <w:rPr>
          <w:rFonts w:cs="Arial"/>
          <w:sz w:val="20"/>
          <w:szCs w:val="22"/>
        </w:rPr>
      </w:pPr>
    </w:p>
    <w:p w14:paraId="7637036D" w14:textId="378B6981" w:rsidR="00064F8C" w:rsidRDefault="00064F8C" w:rsidP="00E6415E">
      <w:pPr>
        <w:jc w:val="left"/>
        <w:rPr>
          <w:rFonts w:cs="Arial"/>
          <w:sz w:val="20"/>
          <w:szCs w:val="22"/>
        </w:rPr>
      </w:pPr>
    </w:p>
    <w:p w14:paraId="7A5B4BE8" w14:textId="1B7BFF84" w:rsidR="00064F8C" w:rsidRDefault="00064F8C" w:rsidP="00E6415E">
      <w:pPr>
        <w:jc w:val="left"/>
        <w:rPr>
          <w:rFonts w:cs="Arial"/>
          <w:sz w:val="20"/>
          <w:szCs w:val="22"/>
        </w:rPr>
      </w:pPr>
    </w:p>
    <w:p w14:paraId="7F0624B8" w14:textId="29BBA8C5" w:rsidR="00064F8C" w:rsidRDefault="00064F8C" w:rsidP="00E6415E">
      <w:pPr>
        <w:jc w:val="left"/>
        <w:rPr>
          <w:rFonts w:cs="Arial"/>
          <w:sz w:val="20"/>
          <w:szCs w:val="22"/>
        </w:rPr>
      </w:pPr>
    </w:p>
    <w:p w14:paraId="1F466635" w14:textId="6ACBD485" w:rsidR="00064F8C" w:rsidRDefault="00064F8C" w:rsidP="00E6415E">
      <w:pPr>
        <w:jc w:val="left"/>
        <w:rPr>
          <w:rFonts w:cs="Arial"/>
          <w:sz w:val="20"/>
          <w:szCs w:val="22"/>
        </w:rPr>
      </w:pPr>
    </w:p>
    <w:p w14:paraId="28A4E748" w14:textId="59497D76" w:rsidR="00064F8C" w:rsidRDefault="00064F8C" w:rsidP="00E6415E">
      <w:pPr>
        <w:jc w:val="left"/>
        <w:rPr>
          <w:rFonts w:cs="Arial"/>
          <w:sz w:val="20"/>
          <w:szCs w:val="22"/>
        </w:rPr>
      </w:pPr>
    </w:p>
    <w:p w14:paraId="735EFC91" w14:textId="1E0C4BAD" w:rsidR="00064F8C" w:rsidRDefault="00064F8C" w:rsidP="00E6415E">
      <w:pPr>
        <w:jc w:val="left"/>
        <w:rPr>
          <w:rFonts w:cs="Arial"/>
          <w:sz w:val="20"/>
          <w:szCs w:val="22"/>
        </w:rPr>
      </w:pPr>
    </w:p>
    <w:p w14:paraId="58BFEF35" w14:textId="5648A968" w:rsidR="00064F8C" w:rsidRDefault="00064F8C" w:rsidP="00E6415E">
      <w:pPr>
        <w:jc w:val="left"/>
        <w:rPr>
          <w:rFonts w:cs="Arial"/>
          <w:sz w:val="20"/>
          <w:szCs w:val="22"/>
        </w:rPr>
      </w:pPr>
    </w:p>
    <w:p w14:paraId="3C97DCDD" w14:textId="2900DB36" w:rsidR="00064F8C" w:rsidRDefault="00064F8C" w:rsidP="00E6415E">
      <w:pPr>
        <w:jc w:val="left"/>
        <w:rPr>
          <w:rFonts w:cs="Arial"/>
          <w:sz w:val="20"/>
          <w:szCs w:val="22"/>
        </w:rPr>
      </w:pPr>
    </w:p>
    <w:p w14:paraId="20E660B0" w14:textId="41181103" w:rsidR="00064F8C" w:rsidRDefault="00064F8C" w:rsidP="00E6415E">
      <w:pPr>
        <w:jc w:val="left"/>
        <w:rPr>
          <w:rFonts w:cs="Arial"/>
          <w:sz w:val="20"/>
          <w:szCs w:val="22"/>
        </w:rPr>
      </w:pPr>
    </w:p>
    <w:p w14:paraId="53516818" w14:textId="75134FE9" w:rsidR="00064F8C" w:rsidRDefault="00064F8C" w:rsidP="00E6415E">
      <w:pPr>
        <w:jc w:val="left"/>
        <w:rPr>
          <w:rFonts w:cs="Arial"/>
          <w:sz w:val="20"/>
          <w:szCs w:val="22"/>
        </w:rPr>
      </w:pPr>
    </w:p>
    <w:p w14:paraId="00ED8CC4" w14:textId="343DFD11" w:rsidR="00064F8C" w:rsidRDefault="00064F8C" w:rsidP="00E6415E">
      <w:pPr>
        <w:jc w:val="left"/>
        <w:rPr>
          <w:rFonts w:cs="Arial"/>
          <w:sz w:val="20"/>
          <w:szCs w:val="22"/>
        </w:rPr>
      </w:pPr>
    </w:p>
    <w:p w14:paraId="4922420E" w14:textId="424CE000" w:rsidR="00064F8C" w:rsidRDefault="00064F8C" w:rsidP="00E6415E">
      <w:pPr>
        <w:jc w:val="left"/>
        <w:rPr>
          <w:rFonts w:cs="Arial"/>
          <w:sz w:val="20"/>
          <w:szCs w:val="22"/>
        </w:rPr>
      </w:pPr>
    </w:p>
    <w:p w14:paraId="1A3A381E" w14:textId="4687A1C0" w:rsidR="00064F8C" w:rsidRDefault="00064F8C" w:rsidP="00E6415E">
      <w:pPr>
        <w:jc w:val="left"/>
        <w:rPr>
          <w:rFonts w:cs="Arial"/>
          <w:sz w:val="20"/>
          <w:szCs w:val="22"/>
        </w:rPr>
      </w:pPr>
    </w:p>
    <w:p w14:paraId="5C552E32" w14:textId="4ADA2023" w:rsidR="00064F8C" w:rsidRDefault="00064F8C" w:rsidP="00E6415E">
      <w:pPr>
        <w:jc w:val="left"/>
        <w:rPr>
          <w:rFonts w:cs="Arial"/>
          <w:sz w:val="20"/>
          <w:szCs w:val="22"/>
        </w:rPr>
      </w:pPr>
    </w:p>
    <w:p w14:paraId="2D0FAEBD" w14:textId="4DAF6233" w:rsidR="00064F8C" w:rsidRDefault="00064F8C" w:rsidP="00E6415E">
      <w:pPr>
        <w:jc w:val="left"/>
        <w:rPr>
          <w:rFonts w:cs="Arial"/>
          <w:sz w:val="20"/>
          <w:szCs w:val="22"/>
        </w:rPr>
      </w:pPr>
    </w:p>
    <w:p w14:paraId="5C571AB0" w14:textId="14A7BBD0" w:rsidR="00064F8C" w:rsidRDefault="00064F8C" w:rsidP="00E6415E">
      <w:pPr>
        <w:jc w:val="left"/>
        <w:rPr>
          <w:rFonts w:cs="Arial"/>
          <w:sz w:val="20"/>
          <w:szCs w:val="22"/>
        </w:rPr>
      </w:pPr>
    </w:p>
    <w:p w14:paraId="01DCE74B" w14:textId="77777777" w:rsidR="00064F8C" w:rsidRDefault="00064F8C" w:rsidP="00E6415E">
      <w:pPr>
        <w:jc w:val="left"/>
        <w:rPr>
          <w:rFonts w:cs="Arial"/>
          <w:sz w:val="20"/>
          <w:szCs w:val="22"/>
        </w:rPr>
      </w:pPr>
    </w:p>
    <w:tbl>
      <w:tblPr>
        <w:tblStyle w:val="TableGrid1"/>
        <w:tblpPr w:leftFromText="180" w:rightFromText="180" w:vertAnchor="text" w:horzAnchor="page" w:tblpX="1576" w:tblpY="278"/>
        <w:tblW w:w="2907" w:type="pct"/>
        <w:tblLook w:val="04A0" w:firstRow="1" w:lastRow="0" w:firstColumn="1" w:lastColumn="0" w:noHBand="0" w:noVBand="1"/>
      </w:tblPr>
      <w:tblGrid>
        <w:gridCol w:w="3988"/>
        <w:gridCol w:w="1610"/>
      </w:tblGrid>
      <w:tr w:rsidR="00064F8C" w:rsidRPr="006E0586" w14:paraId="6F9A1910" w14:textId="77777777" w:rsidTr="00064F8C">
        <w:trPr>
          <w:trHeight w:val="967"/>
        </w:trPr>
        <w:tc>
          <w:tcPr>
            <w:tcW w:w="3562" w:type="pct"/>
            <w:vAlign w:val="center"/>
            <w:hideMark/>
          </w:tcPr>
          <w:p w14:paraId="5D112E01" w14:textId="77777777" w:rsidR="00064F8C" w:rsidRPr="006E0586" w:rsidRDefault="00064F8C" w:rsidP="00064F8C">
            <w:pPr>
              <w:jc w:val="left"/>
              <w:rPr>
                <w:rFonts w:cs="Arial"/>
                <w:b/>
                <w:bCs/>
                <w:color w:val="000000"/>
                <w:sz w:val="22"/>
                <w:lang w:eastAsia="en-GB"/>
              </w:rPr>
            </w:pPr>
            <w:r w:rsidRPr="006E0586">
              <w:rPr>
                <w:rFonts w:cs="Arial"/>
                <w:b/>
                <w:bCs/>
                <w:color w:val="000000"/>
                <w:sz w:val="22"/>
                <w:lang w:eastAsia="en-GB"/>
              </w:rPr>
              <w:t>I want the council to allocate money to:</w:t>
            </w:r>
          </w:p>
        </w:tc>
        <w:tc>
          <w:tcPr>
            <w:tcW w:w="1438" w:type="pct"/>
            <w:vAlign w:val="center"/>
            <w:hideMark/>
          </w:tcPr>
          <w:p w14:paraId="771EB1DB" w14:textId="77777777" w:rsidR="00064F8C" w:rsidRPr="006E0586" w:rsidRDefault="00064F8C" w:rsidP="00064F8C">
            <w:pPr>
              <w:jc w:val="center"/>
              <w:rPr>
                <w:rFonts w:cs="Arial"/>
                <w:b/>
                <w:bCs/>
                <w:color w:val="000000"/>
                <w:sz w:val="22"/>
                <w:lang w:eastAsia="en-GB"/>
              </w:rPr>
            </w:pPr>
            <w:r w:rsidRPr="006E0586">
              <w:rPr>
                <w:rFonts w:cs="Arial"/>
                <w:b/>
                <w:bCs/>
                <w:color w:val="000000"/>
                <w:sz w:val="22"/>
                <w:lang w:eastAsia="en-GB"/>
              </w:rPr>
              <w:t>Responses scoring 1 or 2 (Percentage)</w:t>
            </w:r>
          </w:p>
        </w:tc>
      </w:tr>
      <w:tr w:rsidR="0039478A" w:rsidRPr="006E0586" w14:paraId="07767713" w14:textId="77777777" w:rsidTr="00064F8C">
        <w:trPr>
          <w:trHeight w:val="856"/>
        </w:trPr>
        <w:tc>
          <w:tcPr>
            <w:tcW w:w="3562" w:type="pct"/>
            <w:vAlign w:val="center"/>
            <w:hideMark/>
          </w:tcPr>
          <w:p w14:paraId="595DFF3D" w14:textId="77777777" w:rsidR="0039478A" w:rsidRPr="006E0586" w:rsidRDefault="0039478A" w:rsidP="00064F8C">
            <w:pPr>
              <w:jc w:val="left"/>
              <w:rPr>
                <w:rFonts w:cs="Arial"/>
                <w:color w:val="000000"/>
                <w:sz w:val="22"/>
                <w:lang w:eastAsia="en-GB"/>
              </w:rPr>
            </w:pPr>
            <w:r>
              <w:rPr>
                <w:rFonts w:cs="Arial"/>
                <w:color w:val="000000"/>
                <w:sz w:val="22"/>
                <w:lang w:eastAsia="en-GB"/>
              </w:rPr>
              <w:t>Support the development of affordable homes</w:t>
            </w:r>
          </w:p>
        </w:tc>
        <w:tc>
          <w:tcPr>
            <w:tcW w:w="1438" w:type="pct"/>
            <w:noWrap/>
            <w:vAlign w:val="center"/>
            <w:hideMark/>
          </w:tcPr>
          <w:p w14:paraId="0615A563" w14:textId="77777777" w:rsidR="0039478A" w:rsidRPr="006E0586" w:rsidRDefault="0039478A" w:rsidP="00064F8C">
            <w:pPr>
              <w:jc w:val="center"/>
              <w:rPr>
                <w:rFonts w:cs="Arial"/>
                <w:color w:val="000000"/>
                <w:sz w:val="22"/>
                <w:lang w:eastAsia="en-GB"/>
              </w:rPr>
            </w:pPr>
            <w:r>
              <w:rPr>
                <w:rFonts w:cs="Arial"/>
                <w:color w:val="000000"/>
                <w:sz w:val="22"/>
                <w:lang w:eastAsia="en-GB"/>
              </w:rPr>
              <w:t>36</w:t>
            </w:r>
            <w:r w:rsidRPr="006E0586">
              <w:rPr>
                <w:rFonts w:cs="Arial"/>
                <w:color w:val="000000"/>
                <w:sz w:val="22"/>
                <w:lang w:eastAsia="en-GB"/>
              </w:rPr>
              <w:t>%</w:t>
            </w:r>
          </w:p>
        </w:tc>
      </w:tr>
      <w:tr w:rsidR="0039478A" w:rsidRPr="006E0586" w14:paraId="2DDECEAF" w14:textId="77777777" w:rsidTr="00064F8C">
        <w:trPr>
          <w:trHeight w:val="575"/>
        </w:trPr>
        <w:tc>
          <w:tcPr>
            <w:tcW w:w="3562" w:type="pct"/>
            <w:vAlign w:val="center"/>
            <w:hideMark/>
          </w:tcPr>
          <w:p w14:paraId="66C2B88A" w14:textId="77777777" w:rsidR="0039478A" w:rsidRPr="006E0586" w:rsidRDefault="0039478A" w:rsidP="00064F8C">
            <w:pPr>
              <w:jc w:val="left"/>
              <w:rPr>
                <w:rFonts w:cs="Arial"/>
                <w:color w:val="000000"/>
                <w:sz w:val="22"/>
                <w:lang w:eastAsia="en-GB"/>
              </w:rPr>
            </w:pPr>
            <w:r>
              <w:rPr>
                <w:rFonts w:cs="Arial"/>
                <w:color w:val="000000"/>
                <w:sz w:val="22"/>
                <w:lang w:eastAsia="en-GB"/>
              </w:rPr>
              <w:t>Improving Leyland town centre including delivering the plans set out in the Town Deal</w:t>
            </w:r>
          </w:p>
        </w:tc>
        <w:tc>
          <w:tcPr>
            <w:tcW w:w="1438" w:type="pct"/>
            <w:noWrap/>
            <w:vAlign w:val="center"/>
            <w:hideMark/>
          </w:tcPr>
          <w:p w14:paraId="572E7F84" w14:textId="77777777" w:rsidR="0039478A" w:rsidRPr="006E0586" w:rsidRDefault="0039478A" w:rsidP="00064F8C">
            <w:pPr>
              <w:jc w:val="center"/>
              <w:rPr>
                <w:rFonts w:cs="Arial"/>
                <w:color w:val="000000"/>
                <w:sz w:val="22"/>
                <w:lang w:eastAsia="en-GB"/>
              </w:rPr>
            </w:pPr>
            <w:r>
              <w:rPr>
                <w:rFonts w:cs="Arial"/>
                <w:color w:val="000000"/>
                <w:sz w:val="22"/>
                <w:lang w:eastAsia="en-GB"/>
              </w:rPr>
              <w:t>35</w:t>
            </w:r>
            <w:r w:rsidRPr="006E0586">
              <w:rPr>
                <w:rFonts w:cs="Arial"/>
                <w:color w:val="000000"/>
                <w:sz w:val="22"/>
                <w:lang w:eastAsia="en-GB"/>
              </w:rPr>
              <w:t>%</w:t>
            </w:r>
          </w:p>
        </w:tc>
      </w:tr>
      <w:tr w:rsidR="0039478A" w:rsidRPr="006E0586" w14:paraId="2FF00655" w14:textId="77777777" w:rsidTr="00064F8C">
        <w:trPr>
          <w:trHeight w:val="575"/>
        </w:trPr>
        <w:tc>
          <w:tcPr>
            <w:tcW w:w="3562" w:type="pct"/>
            <w:vAlign w:val="center"/>
            <w:hideMark/>
          </w:tcPr>
          <w:p w14:paraId="57ABE059" w14:textId="77777777" w:rsidR="0039478A" w:rsidRPr="006E0586" w:rsidRDefault="0039478A" w:rsidP="00064F8C">
            <w:pPr>
              <w:jc w:val="left"/>
              <w:rPr>
                <w:rFonts w:cs="Arial"/>
                <w:color w:val="000000"/>
                <w:sz w:val="22"/>
                <w:lang w:eastAsia="en-GB"/>
              </w:rPr>
            </w:pPr>
            <w:r w:rsidRPr="006E0586">
              <w:rPr>
                <w:rFonts w:cs="Arial"/>
                <w:color w:val="000000"/>
                <w:sz w:val="22"/>
                <w:lang w:eastAsia="en-GB"/>
              </w:rPr>
              <w:t xml:space="preserve">Supporting businesses to get back on their feet after </w:t>
            </w:r>
            <w:proofErr w:type="spellStart"/>
            <w:r w:rsidRPr="006E0586">
              <w:rPr>
                <w:rFonts w:cs="Arial"/>
                <w:color w:val="000000"/>
                <w:sz w:val="22"/>
                <w:lang w:eastAsia="en-GB"/>
              </w:rPr>
              <w:t>Covid</w:t>
            </w:r>
            <w:proofErr w:type="spellEnd"/>
          </w:p>
        </w:tc>
        <w:tc>
          <w:tcPr>
            <w:tcW w:w="1438" w:type="pct"/>
            <w:noWrap/>
            <w:vAlign w:val="center"/>
            <w:hideMark/>
          </w:tcPr>
          <w:p w14:paraId="77CA88D3" w14:textId="77777777" w:rsidR="0039478A" w:rsidRPr="006E0586" w:rsidRDefault="0039478A" w:rsidP="00064F8C">
            <w:pPr>
              <w:jc w:val="center"/>
              <w:rPr>
                <w:rFonts w:cs="Arial"/>
                <w:color w:val="000000"/>
                <w:sz w:val="22"/>
                <w:lang w:eastAsia="en-GB"/>
              </w:rPr>
            </w:pPr>
            <w:r>
              <w:rPr>
                <w:rFonts w:cs="Arial"/>
                <w:color w:val="000000"/>
                <w:sz w:val="22"/>
                <w:lang w:eastAsia="en-GB"/>
              </w:rPr>
              <w:t>14</w:t>
            </w:r>
            <w:r w:rsidRPr="006E0586">
              <w:rPr>
                <w:rFonts w:cs="Arial"/>
                <w:color w:val="000000"/>
                <w:sz w:val="22"/>
                <w:lang w:eastAsia="en-GB"/>
              </w:rPr>
              <w:t>%</w:t>
            </w:r>
          </w:p>
        </w:tc>
      </w:tr>
      <w:tr w:rsidR="0039478A" w:rsidRPr="006E0586" w14:paraId="1EA34476" w14:textId="77777777" w:rsidTr="00064F8C">
        <w:trPr>
          <w:trHeight w:val="856"/>
        </w:trPr>
        <w:tc>
          <w:tcPr>
            <w:tcW w:w="3562" w:type="pct"/>
            <w:vAlign w:val="center"/>
            <w:hideMark/>
          </w:tcPr>
          <w:p w14:paraId="262FB223" w14:textId="77777777" w:rsidR="0039478A" w:rsidRPr="006E0586" w:rsidRDefault="0039478A" w:rsidP="00064F8C">
            <w:pPr>
              <w:jc w:val="left"/>
              <w:rPr>
                <w:rFonts w:cs="Arial"/>
                <w:color w:val="000000"/>
                <w:sz w:val="22"/>
                <w:lang w:eastAsia="en-GB"/>
              </w:rPr>
            </w:pPr>
            <w:r w:rsidRPr="006E0586">
              <w:rPr>
                <w:rFonts w:cs="Arial"/>
                <w:color w:val="000000"/>
                <w:sz w:val="22"/>
                <w:lang w:eastAsia="en-GB"/>
              </w:rPr>
              <w:t xml:space="preserve">Support </w:t>
            </w:r>
            <w:r>
              <w:rPr>
                <w:rFonts w:cs="Arial"/>
                <w:color w:val="000000"/>
                <w:sz w:val="22"/>
                <w:lang w:eastAsia="en-GB"/>
              </w:rPr>
              <w:t>communities and community facilities to thrive through the community hub boost fund</w:t>
            </w:r>
          </w:p>
        </w:tc>
        <w:tc>
          <w:tcPr>
            <w:tcW w:w="1438" w:type="pct"/>
            <w:noWrap/>
            <w:vAlign w:val="center"/>
            <w:hideMark/>
          </w:tcPr>
          <w:p w14:paraId="0ED1B897" w14:textId="77777777" w:rsidR="0039478A" w:rsidRPr="006E0586" w:rsidRDefault="0039478A" w:rsidP="00064F8C">
            <w:pPr>
              <w:jc w:val="center"/>
              <w:rPr>
                <w:rFonts w:cs="Arial"/>
                <w:color w:val="000000"/>
                <w:sz w:val="22"/>
                <w:lang w:eastAsia="en-GB"/>
              </w:rPr>
            </w:pPr>
            <w:r w:rsidRPr="006E0586">
              <w:rPr>
                <w:rFonts w:cs="Arial"/>
                <w:color w:val="000000"/>
                <w:sz w:val="22"/>
                <w:lang w:eastAsia="en-GB"/>
              </w:rPr>
              <w:t>1</w:t>
            </w:r>
            <w:r>
              <w:rPr>
                <w:rFonts w:cs="Arial"/>
                <w:color w:val="000000"/>
                <w:sz w:val="22"/>
                <w:lang w:eastAsia="en-GB"/>
              </w:rPr>
              <w:t>4</w:t>
            </w:r>
            <w:r w:rsidRPr="006E0586">
              <w:rPr>
                <w:rFonts w:cs="Arial"/>
                <w:color w:val="000000"/>
                <w:sz w:val="22"/>
                <w:lang w:eastAsia="en-GB"/>
              </w:rPr>
              <w:t>%</w:t>
            </w:r>
          </w:p>
        </w:tc>
      </w:tr>
      <w:tr w:rsidR="0039478A" w:rsidRPr="006E0586" w14:paraId="160B62A1" w14:textId="77777777" w:rsidTr="00064F8C">
        <w:trPr>
          <w:trHeight w:val="575"/>
        </w:trPr>
        <w:tc>
          <w:tcPr>
            <w:tcW w:w="3562" w:type="pct"/>
            <w:vAlign w:val="center"/>
            <w:hideMark/>
          </w:tcPr>
          <w:p w14:paraId="788620E8" w14:textId="77777777" w:rsidR="0039478A" w:rsidRPr="006E0586" w:rsidRDefault="0039478A" w:rsidP="00064F8C">
            <w:pPr>
              <w:jc w:val="left"/>
              <w:rPr>
                <w:rFonts w:cs="Arial"/>
                <w:color w:val="000000"/>
                <w:sz w:val="22"/>
                <w:lang w:eastAsia="en-GB"/>
              </w:rPr>
            </w:pPr>
            <w:r>
              <w:rPr>
                <w:rFonts w:cs="Arial"/>
                <w:color w:val="000000"/>
                <w:sz w:val="22"/>
                <w:lang w:eastAsia="en-GB"/>
              </w:rPr>
              <w:t>Delivering excellent leisure services and running leisure centres efficiently</w:t>
            </w:r>
          </w:p>
        </w:tc>
        <w:tc>
          <w:tcPr>
            <w:tcW w:w="1438" w:type="pct"/>
            <w:noWrap/>
            <w:vAlign w:val="center"/>
            <w:hideMark/>
          </w:tcPr>
          <w:p w14:paraId="4CA94D68" w14:textId="77777777" w:rsidR="0039478A" w:rsidRPr="006E0586" w:rsidRDefault="0039478A" w:rsidP="00064F8C">
            <w:pPr>
              <w:jc w:val="center"/>
              <w:rPr>
                <w:rFonts w:cs="Arial"/>
                <w:color w:val="000000"/>
                <w:sz w:val="22"/>
                <w:lang w:eastAsia="en-GB"/>
              </w:rPr>
            </w:pPr>
            <w:r w:rsidRPr="006E0586">
              <w:rPr>
                <w:rFonts w:cs="Arial"/>
                <w:color w:val="000000"/>
                <w:sz w:val="22"/>
                <w:lang w:eastAsia="en-GB"/>
              </w:rPr>
              <w:t>1</w:t>
            </w:r>
            <w:r>
              <w:rPr>
                <w:rFonts w:cs="Arial"/>
                <w:color w:val="000000"/>
                <w:sz w:val="22"/>
                <w:lang w:eastAsia="en-GB"/>
              </w:rPr>
              <w:t>4</w:t>
            </w:r>
            <w:r w:rsidRPr="006E0586">
              <w:rPr>
                <w:rFonts w:cs="Arial"/>
                <w:color w:val="000000"/>
                <w:sz w:val="22"/>
                <w:lang w:eastAsia="en-GB"/>
              </w:rPr>
              <w:t>%</w:t>
            </w:r>
          </w:p>
        </w:tc>
      </w:tr>
      <w:tr w:rsidR="0039478A" w:rsidRPr="006E0586" w14:paraId="55566E7C" w14:textId="77777777" w:rsidTr="00064F8C">
        <w:trPr>
          <w:trHeight w:val="575"/>
        </w:trPr>
        <w:tc>
          <w:tcPr>
            <w:tcW w:w="3562" w:type="pct"/>
            <w:vAlign w:val="center"/>
            <w:hideMark/>
          </w:tcPr>
          <w:p w14:paraId="4DD377C7" w14:textId="77777777" w:rsidR="0039478A" w:rsidRPr="006E0586" w:rsidRDefault="0039478A" w:rsidP="00064F8C">
            <w:pPr>
              <w:jc w:val="left"/>
              <w:rPr>
                <w:rFonts w:cs="Arial"/>
                <w:color w:val="000000"/>
                <w:sz w:val="22"/>
                <w:lang w:eastAsia="en-GB"/>
              </w:rPr>
            </w:pPr>
            <w:r>
              <w:rPr>
                <w:rFonts w:cs="Arial"/>
                <w:color w:val="000000"/>
                <w:sz w:val="22"/>
                <w:lang w:eastAsia="en-GB"/>
              </w:rPr>
              <w:t>Improvements to play areas and open spaces across the borough</w:t>
            </w:r>
            <w:r w:rsidRPr="006E0586">
              <w:rPr>
                <w:rFonts w:cs="Arial"/>
                <w:color w:val="000000"/>
                <w:sz w:val="22"/>
                <w:lang w:eastAsia="en-GB"/>
              </w:rPr>
              <w:t xml:space="preserve"> </w:t>
            </w:r>
          </w:p>
        </w:tc>
        <w:tc>
          <w:tcPr>
            <w:tcW w:w="1438" w:type="pct"/>
            <w:noWrap/>
            <w:vAlign w:val="center"/>
            <w:hideMark/>
          </w:tcPr>
          <w:p w14:paraId="44A6FD76" w14:textId="77777777" w:rsidR="0039478A" w:rsidRPr="006E0586" w:rsidRDefault="0039478A" w:rsidP="00064F8C">
            <w:pPr>
              <w:jc w:val="center"/>
              <w:rPr>
                <w:rFonts w:cs="Arial"/>
                <w:color w:val="000000"/>
                <w:sz w:val="22"/>
                <w:lang w:eastAsia="en-GB"/>
              </w:rPr>
            </w:pPr>
            <w:r w:rsidRPr="006E0586">
              <w:rPr>
                <w:rFonts w:cs="Arial"/>
                <w:color w:val="000000"/>
                <w:sz w:val="22"/>
                <w:lang w:eastAsia="en-GB"/>
              </w:rPr>
              <w:t>1</w:t>
            </w:r>
            <w:r>
              <w:rPr>
                <w:rFonts w:cs="Arial"/>
                <w:color w:val="000000"/>
                <w:sz w:val="22"/>
                <w:lang w:eastAsia="en-GB"/>
              </w:rPr>
              <w:t>1</w:t>
            </w:r>
            <w:r w:rsidRPr="006E0586">
              <w:rPr>
                <w:rFonts w:cs="Arial"/>
                <w:color w:val="000000"/>
                <w:sz w:val="22"/>
                <w:lang w:eastAsia="en-GB"/>
              </w:rPr>
              <w:t>%</w:t>
            </w:r>
          </w:p>
        </w:tc>
      </w:tr>
      <w:tr w:rsidR="0039478A" w:rsidRPr="006E0586" w14:paraId="30106391" w14:textId="77777777" w:rsidTr="00064F8C">
        <w:trPr>
          <w:trHeight w:val="575"/>
        </w:trPr>
        <w:tc>
          <w:tcPr>
            <w:tcW w:w="3562" w:type="pct"/>
            <w:vAlign w:val="center"/>
            <w:hideMark/>
          </w:tcPr>
          <w:p w14:paraId="6FD963FC" w14:textId="77777777" w:rsidR="0039478A" w:rsidRPr="006E0586" w:rsidRDefault="0039478A" w:rsidP="00064F8C">
            <w:pPr>
              <w:jc w:val="left"/>
              <w:rPr>
                <w:rFonts w:cs="Arial"/>
                <w:color w:val="000000"/>
                <w:sz w:val="22"/>
                <w:lang w:eastAsia="en-GB"/>
              </w:rPr>
            </w:pPr>
            <w:r>
              <w:rPr>
                <w:rFonts w:cs="Arial"/>
                <w:color w:val="000000"/>
                <w:sz w:val="22"/>
                <w:lang w:eastAsia="en-GB"/>
              </w:rPr>
              <w:lastRenderedPageBreak/>
              <w:t>Taking steps to retain wealth within the borough through local job creation</w:t>
            </w:r>
          </w:p>
        </w:tc>
        <w:tc>
          <w:tcPr>
            <w:tcW w:w="1438" w:type="pct"/>
            <w:noWrap/>
            <w:vAlign w:val="center"/>
            <w:hideMark/>
          </w:tcPr>
          <w:p w14:paraId="01DDABB1" w14:textId="77777777" w:rsidR="0039478A" w:rsidRPr="006E0586" w:rsidRDefault="0039478A" w:rsidP="00064F8C">
            <w:pPr>
              <w:jc w:val="center"/>
              <w:rPr>
                <w:rFonts w:cs="Arial"/>
                <w:color w:val="000000"/>
                <w:sz w:val="22"/>
                <w:lang w:eastAsia="en-GB"/>
              </w:rPr>
            </w:pPr>
            <w:r>
              <w:rPr>
                <w:rFonts w:cs="Arial"/>
                <w:color w:val="000000"/>
                <w:sz w:val="22"/>
                <w:lang w:eastAsia="en-GB"/>
              </w:rPr>
              <w:t>8</w:t>
            </w:r>
            <w:r w:rsidRPr="006E0586">
              <w:rPr>
                <w:rFonts w:cs="Arial"/>
                <w:color w:val="000000"/>
                <w:sz w:val="22"/>
                <w:lang w:eastAsia="en-GB"/>
              </w:rPr>
              <w:t>%</w:t>
            </w:r>
          </w:p>
        </w:tc>
      </w:tr>
      <w:tr w:rsidR="0039478A" w:rsidRPr="006E0586" w14:paraId="6A3F04FB" w14:textId="77777777" w:rsidTr="00064F8C">
        <w:trPr>
          <w:trHeight w:val="856"/>
        </w:trPr>
        <w:tc>
          <w:tcPr>
            <w:tcW w:w="3562" w:type="pct"/>
            <w:vAlign w:val="center"/>
            <w:hideMark/>
          </w:tcPr>
          <w:p w14:paraId="7FC88957" w14:textId="34D53B8D" w:rsidR="0039478A" w:rsidRPr="006E0586" w:rsidRDefault="0039478A" w:rsidP="00064F8C">
            <w:pPr>
              <w:jc w:val="left"/>
              <w:rPr>
                <w:rFonts w:cs="Arial"/>
                <w:color w:val="000000"/>
                <w:sz w:val="22"/>
                <w:lang w:eastAsia="en-GB"/>
              </w:rPr>
            </w:pPr>
            <w:r>
              <w:rPr>
                <w:rFonts w:cs="Arial"/>
                <w:color w:val="000000"/>
                <w:sz w:val="22"/>
                <w:lang w:eastAsia="en-GB"/>
              </w:rPr>
              <w:t xml:space="preserve">Work to target </w:t>
            </w:r>
            <w:r w:rsidR="00270414">
              <w:rPr>
                <w:rFonts w:cs="Arial"/>
                <w:color w:val="000000"/>
                <w:sz w:val="22"/>
                <w:lang w:eastAsia="en-GB"/>
              </w:rPr>
              <w:t>fly-tipping</w:t>
            </w:r>
            <w:r>
              <w:rPr>
                <w:rFonts w:cs="Arial"/>
                <w:color w:val="000000"/>
                <w:sz w:val="22"/>
                <w:lang w:eastAsia="en-GB"/>
              </w:rPr>
              <w:t xml:space="preserve"> and environmental improvements</w:t>
            </w:r>
          </w:p>
        </w:tc>
        <w:tc>
          <w:tcPr>
            <w:tcW w:w="1438" w:type="pct"/>
            <w:noWrap/>
            <w:vAlign w:val="center"/>
            <w:hideMark/>
          </w:tcPr>
          <w:p w14:paraId="4B49D361" w14:textId="77777777" w:rsidR="0039478A" w:rsidRPr="006E0586" w:rsidRDefault="0039478A" w:rsidP="00064F8C">
            <w:pPr>
              <w:jc w:val="center"/>
              <w:rPr>
                <w:rFonts w:cs="Arial"/>
                <w:color w:val="000000"/>
                <w:sz w:val="22"/>
                <w:lang w:eastAsia="en-GB"/>
              </w:rPr>
            </w:pPr>
            <w:r>
              <w:rPr>
                <w:rFonts w:cs="Arial"/>
                <w:color w:val="000000"/>
                <w:sz w:val="22"/>
                <w:lang w:eastAsia="en-GB"/>
              </w:rPr>
              <w:t>5</w:t>
            </w:r>
            <w:r w:rsidRPr="006E0586">
              <w:rPr>
                <w:rFonts w:cs="Arial"/>
                <w:color w:val="000000"/>
                <w:sz w:val="22"/>
                <w:lang w:eastAsia="en-GB"/>
              </w:rPr>
              <w:t>%</w:t>
            </w:r>
          </w:p>
        </w:tc>
      </w:tr>
    </w:tbl>
    <w:p w14:paraId="46B9E614" w14:textId="77777777" w:rsidR="00E6415E" w:rsidRDefault="00E6415E" w:rsidP="00E6415E">
      <w:pPr>
        <w:jc w:val="left"/>
        <w:rPr>
          <w:rFonts w:cs="Arial"/>
          <w:sz w:val="20"/>
          <w:szCs w:val="22"/>
        </w:rPr>
      </w:pPr>
    </w:p>
    <w:p w14:paraId="64BC6587" w14:textId="77777777" w:rsidR="00E6415E" w:rsidRDefault="00E6415E" w:rsidP="00E6415E">
      <w:pPr>
        <w:jc w:val="left"/>
        <w:rPr>
          <w:rFonts w:cs="Arial"/>
          <w:sz w:val="20"/>
          <w:szCs w:val="22"/>
        </w:rPr>
      </w:pPr>
    </w:p>
    <w:p w14:paraId="2A8FEB33" w14:textId="77777777" w:rsidR="00E6415E" w:rsidRDefault="00E6415E" w:rsidP="00E6415E">
      <w:pPr>
        <w:jc w:val="left"/>
        <w:rPr>
          <w:rFonts w:cs="Arial"/>
          <w:sz w:val="20"/>
          <w:szCs w:val="22"/>
        </w:rPr>
      </w:pPr>
    </w:p>
    <w:p w14:paraId="6E3EC05E" w14:textId="77777777" w:rsidR="00E6415E" w:rsidRDefault="00E6415E" w:rsidP="00E6415E">
      <w:pPr>
        <w:jc w:val="left"/>
        <w:rPr>
          <w:rFonts w:cs="Arial"/>
          <w:sz w:val="20"/>
          <w:szCs w:val="22"/>
        </w:rPr>
      </w:pPr>
    </w:p>
    <w:p w14:paraId="7866C2DE" w14:textId="77777777" w:rsidR="00E6415E" w:rsidRDefault="00E6415E" w:rsidP="00E6415E">
      <w:pPr>
        <w:jc w:val="left"/>
        <w:rPr>
          <w:rFonts w:cs="Arial"/>
          <w:sz w:val="20"/>
          <w:szCs w:val="22"/>
        </w:rPr>
      </w:pPr>
    </w:p>
    <w:p w14:paraId="194EAE12" w14:textId="77777777" w:rsidR="00E6415E" w:rsidRDefault="00E6415E" w:rsidP="00E6415E">
      <w:pPr>
        <w:jc w:val="left"/>
        <w:rPr>
          <w:rFonts w:cs="Arial"/>
          <w:sz w:val="20"/>
          <w:szCs w:val="22"/>
        </w:rPr>
      </w:pPr>
    </w:p>
    <w:p w14:paraId="7A789FE8" w14:textId="77777777" w:rsidR="00E6415E" w:rsidRDefault="00E6415E" w:rsidP="00E6415E">
      <w:pPr>
        <w:jc w:val="left"/>
        <w:rPr>
          <w:rFonts w:cs="Arial"/>
          <w:sz w:val="20"/>
          <w:szCs w:val="22"/>
        </w:rPr>
      </w:pPr>
    </w:p>
    <w:p w14:paraId="009B9067" w14:textId="77777777" w:rsidR="00E6415E" w:rsidRDefault="00E6415E" w:rsidP="00E6415E">
      <w:pPr>
        <w:jc w:val="left"/>
        <w:rPr>
          <w:rFonts w:cs="Arial"/>
          <w:sz w:val="20"/>
          <w:szCs w:val="22"/>
        </w:rPr>
      </w:pPr>
    </w:p>
    <w:p w14:paraId="6AFF827A" w14:textId="77777777" w:rsidR="00E6415E" w:rsidRDefault="00E6415E" w:rsidP="00E6415E">
      <w:pPr>
        <w:jc w:val="left"/>
        <w:rPr>
          <w:rFonts w:cs="Arial"/>
          <w:sz w:val="20"/>
          <w:szCs w:val="22"/>
        </w:rPr>
      </w:pPr>
    </w:p>
    <w:p w14:paraId="673D71F6" w14:textId="77777777" w:rsidR="00E6415E" w:rsidRDefault="00E6415E" w:rsidP="00E6415E">
      <w:pPr>
        <w:jc w:val="left"/>
        <w:rPr>
          <w:rFonts w:cs="Arial"/>
          <w:sz w:val="20"/>
          <w:szCs w:val="22"/>
        </w:rPr>
      </w:pPr>
    </w:p>
    <w:p w14:paraId="3B49E879" w14:textId="77777777" w:rsidR="00E6415E" w:rsidRDefault="00E6415E" w:rsidP="00E6415E">
      <w:pPr>
        <w:jc w:val="left"/>
        <w:rPr>
          <w:rFonts w:cs="Arial"/>
          <w:sz w:val="20"/>
          <w:szCs w:val="22"/>
        </w:rPr>
      </w:pPr>
    </w:p>
    <w:p w14:paraId="1D683856" w14:textId="77777777" w:rsidR="00E6415E" w:rsidRDefault="00E6415E" w:rsidP="00E6415E">
      <w:pPr>
        <w:jc w:val="left"/>
        <w:rPr>
          <w:rFonts w:cs="Arial"/>
          <w:sz w:val="20"/>
          <w:szCs w:val="22"/>
        </w:rPr>
      </w:pPr>
    </w:p>
    <w:p w14:paraId="4245EE91" w14:textId="77777777" w:rsidR="00E6415E" w:rsidRDefault="00E6415E" w:rsidP="00E6415E">
      <w:pPr>
        <w:jc w:val="left"/>
        <w:rPr>
          <w:rFonts w:cs="Arial"/>
          <w:sz w:val="20"/>
          <w:szCs w:val="22"/>
        </w:rPr>
      </w:pPr>
    </w:p>
    <w:p w14:paraId="0FDE1AC7" w14:textId="77777777" w:rsidR="00E6415E" w:rsidRDefault="00E6415E" w:rsidP="00E6415E">
      <w:pPr>
        <w:jc w:val="left"/>
        <w:rPr>
          <w:rFonts w:cs="Arial"/>
          <w:sz w:val="20"/>
          <w:szCs w:val="22"/>
        </w:rPr>
      </w:pPr>
    </w:p>
    <w:p w14:paraId="56B5FF8F" w14:textId="77777777" w:rsidR="00E6415E" w:rsidRDefault="00E6415E" w:rsidP="00E6415E">
      <w:pPr>
        <w:jc w:val="left"/>
        <w:rPr>
          <w:rFonts w:cs="Arial"/>
          <w:sz w:val="20"/>
          <w:szCs w:val="22"/>
        </w:rPr>
      </w:pPr>
    </w:p>
    <w:p w14:paraId="1F1A04CA" w14:textId="77777777" w:rsidR="00E6415E" w:rsidRDefault="00E6415E" w:rsidP="00E6415E">
      <w:pPr>
        <w:jc w:val="left"/>
        <w:rPr>
          <w:rFonts w:cs="Arial"/>
          <w:sz w:val="20"/>
          <w:szCs w:val="22"/>
        </w:rPr>
      </w:pPr>
    </w:p>
    <w:p w14:paraId="0A8F67B0" w14:textId="77777777" w:rsidR="0004545D" w:rsidRDefault="0004545D" w:rsidP="00E6415E">
      <w:pPr>
        <w:jc w:val="left"/>
        <w:rPr>
          <w:rFonts w:cs="Arial"/>
          <w:b/>
          <w:bCs/>
          <w:szCs w:val="28"/>
        </w:rPr>
      </w:pPr>
    </w:p>
    <w:p w14:paraId="460BADF7" w14:textId="233227FD" w:rsidR="0004545D" w:rsidRDefault="0004545D" w:rsidP="00E6415E">
      <w:pPr>
        <w:jc w:val="left"/>
        <w:rPr>
          <w:rFonts w:cs="Arial"/>
          <w:b/>
          <w:bCs/>
          <w:szCs w:val="28"/>
        </w:rPr>
      </w:pPr>
    </w:p>
    <w:p w14:paraId="5634D80B" w14:textId="4451149C" w:rsidR="00F15DFF" w:rsidRDefault="00F15DFF" w:rsidP="00E6415E">
      <w:pPr>
        <w:jc w:val="left"/>
        <w:rPr>
          <w:rFonts w:cs="Arial"/>
          <w:b/>
          <w:bCs/>
          <w:szCs w:val="28"/>
        </w:rPr>
      </w:pPr>
    </w:p>
    <w:p w14:paraId="75906CC0" w14:textId="40A8F7EA" w:rsidR="00F15DFF" w:rsidRDefault="00F15DFF" w:rsidP="00E6415E">
      <w:pPr>
        <w:jc w:val="left"/>
        <w:rPr>
          <w:rFonts w:cs="Arial"/>
          <w:b/>
          <w:bCs/>
          <w:szCs w:val="28"/>
        </w:rPr>
      </w:pPr>
    </w:p>
    <w:p w14:paraId="5A052B1F" w14:textId="77777777" w:rsidR="00480EE1" w:rsidRDefault="00480EE1" w:rsidP="00E6415E">
      <w:pPr>
        <w:jc w:val="left"/>
        <w:rPr>
          <w:rFonts w:cs="Arial"/>
          <w:b/>
          <w:bCs/>
          <w:szCs w:val="28"/>
        </w:rPr>
      </w:pPr>
    </w:p>
    <w:p w14:paraId="3AAA6864" w14:textId="77777777" w:rsidR="00F1346D" w:rsidRDefault="00F1346D">
      <w:pPr>
        <w:spacing w:after="160" w:line="259" w:lineRule="auto"/>
        <w:jc w:val="left"/>
        <w:rPr>
          <w:rFonts w:cs="Arial"/>
          <w:b/>
          <w:bCs/>
          <w:szCs w:val="28"/>
        </w:rPr>
      </w:pPr>
      <w:r>
        <w:rPr>
          <w:rFonts w:cs="Arial"/>
          <w:b/>
          <w:bCs/>
          <w:szCs w:val="28"/>
        </w:rPr>
        <w:br w:type="page"/>
      </w:r>
    </w:p>
    <w:p w14:paraId="44368C2E" w14:textId="301542A4" w:rsidR="00E6415E" w:rsidRDefault="00E6415E" w:rsidP="00E6415E">
      <w:pPr>
        <w:jc w:val="left"/>
        <w:rPr>
          <w:rFonts w:cs="Arial"/>
          <w:b/>
          <w:bCs/>
          <w:szCs w:val="28"/>
        </w:rPr>
      </w:pPr>
      <w:r w:rsidRPr="002B6BB2">
        <w:rPr>
          <w:rFonts w:cs="Arial"/>
          <w:b/>
          <w:bCs/>
          <w:szCs w:val="28"/>
        </w:rPr>
        <w:lastRenderedPageBreak/>
        <w:t xml:space="preserve">APPENDIX B </w:t>
      </w:r>
      <w:r>
        <w:rPr>
          <w:rFonts w:cs="Arial"/>
          <w:b/>
          <w:bCs/>
          <w:szCs w:val="28"/>
        </w:rPr>
        <w:t xml:space="preserve">– Respondent Comments (Part Two) </w:t>
      </w:r>
    </w:p>
    <w:p w14:paraId="7BAC8F88" w14:textId="77777777" w:rsidR="00E6415E" w:rsidRDefault="00E6415E" w:rsidP="00E6415E">
      <w:pPr>
        <w:jc w:val="left"/>
        <w:rPr>
          <w:rFonts w:cs="Arial"/>
          <w:b/>
          <w:bCs/>
          <w:szCs w:val="28"/>
        </w:rPr>
      </w:pPr>
    </w:p>
    <w:p w14:paraId="260B57E8" w14:textId="77777777" w:rsidR="00E6415E" w:rsidRPr="00064F8C" w:rsidRDefault="00E6415E" w:rsidP="00E6415E">
      <w:pPr>
        <w:jc w:val="left"/>
        <w:rPr>
          <w:rFonts w:cs="Arial"/>
          <w:sz w:val="22"/>
          <w:szCs w:val="24"/>
        </w:rPr>
      </w:pPr>
      <w:r w:rsidRPr="00064F8C">
        <w:rPr>
          <w:rFonts w:cs="Arial"/>
          <w:sz w:val="22"/>
          <w:szCs w:val="24"/>
        </w:rPr>
        <w:t xml:space="preserve">The table below presents a selection of comments from part two of the survey. These are comments from the five most reoccurring themes when participants were asked to make suggestions on what they believe the council should be doing: </w:t>
      </w:r>
    </w:p>
    <w:p w14:paraId="1C3830BB" w14:textId="77777777" w:rsidR="00E6415E" w:rsidRDefault="00E6415E" w:rsidP="00E6415E">
      <w:pPr>
        <w:jc w:val="left"/>
        <w:rPr>
          <w:rFonts w:cs="Arial"/>
          <w:szCs w:val="28"/>
        </w:rPr>
      </w:pPr>
    </w:p>
    <w:tbl>
      <w:tblPr>
        <w:tblStyle w:val="TableGrid"/>
        <w:tblW w:w="0" w:type="auto"/>
        <w:tblLook w:val="04A0" w:firstRow="1" w:lastRow="0" w:firstColumn="1" w:lastColumn="0" w:noHBand="0" w:noVBand="1"/>
      </w:tblPr>
      <w:tblGrid>
        <w:gridCol w:w="9629"/>
      </w:tblGrid>
      <w:tr w:rsidR="00E6415E" w14:paraId="7A77F575" w14:textId="77777777" w:rsidTr="00C11BE3">
        <w:tc>
          <w:tcPr>
            <w:tcW w:w="9629" w:type="dxa"/>
            <w:shd w:val="clear" w:color="auto" w:fill="0070C0"/>
          </w:tcPr>
          <w:p w14:paraId="32B23A6B" w14:textId="166E84B6" w:rsidR="00E6415E" w:rsidRPr="00DD36E5" w:rsidRDefault="0004545D" w:rsidP="00C11BE3">
            <w:pPr>
              <w:jc w:val="left"/>
              <w:rPr>
                <w:rFonts w:cs="Arial"/>
                <w:b/>
                <w:bCs/>
                <w:szCs w:val="28"/>
              </w:rPr>
            </w:pPr>
            <w:r>
              <w:rPr>
                <w:rFonts w:cs="Arial"/>
                <w:b/>
                <w:bCs/>
                <w:color w:val="FFFFFF" w:themeColor="background1"/>
                <w:szCs w:val="28"/>
              </w:rPr>
              <w:t>Parks and Open Spaces</w:t>
            </w:r>
            <w:r w:rsidR="00E6415E" w:rsidRPr="00DD36E5">
              <w:rPr>
                <w:rFonts w:cs="Arial"/>
                <w:b/>
                <w:bCs/>
                <w:color w:val="FFFFFF" w:themeColor="background1"/>
                <w:szCs w:val="28"/>
              </w:rPr>
              <w:t xml:space="preserve"> </w:t>
            </w:r>
          </w:p>
        </w:tc>
      </w:tr>
      <w:tr w:rsidR="00E6415E" w14:paraId="7E3830AD" w14:textId="77777777" w:rsidTr="00C11BE3">
        <w:tc>
          <w:tcPr>
            <w:tcW w:w="9629" w:type="dxa"/>
          </w:tcPr>
          <w:p w14:paraId="67107A7E" w14:textId="1C476971" w:rsidR="00E6415E" w:rsidRPr="00AE422C" w:rsidRDefault="00480EE1" w:rsidP="00C11BE3">
            <w:pPr>
              <w:jc w:val="left"/>
              <w:rPr>
                <w:rFonts w:cs="Arial"/>
                <w:color w:val="000000"/>
                <w:sz w:val="22"/>
                <w:szCs w:val="22"/>
              </w:rPr>
            </w:pPr>
            <w:r w:rsidRPr="00AE422C">
              <w:rPr>
                <w:rFonts w:cs="Arial"/>
                <w:color w:val="000000"/>
                <w:sz w:val="22"/>
                <w:szCs w:val="22"/>
              </w:rPr>
              <w:t>Great improvement to Strawberry Valley Park, however CCTV and better lighting, especially on the middle of the footbridge to Hargreaves Avenue, would be very welcome.</w:t>
            </w:r>
          </w:p>
        </w:tc>
      </w:tr>
      <w:tr w:rsidR="00E6415E" w14:paraId="23C0BB20" w14:textId="77777777" w:rsidTr="00C11BE3">
        <w:tc>
          <w:tcPr>
            <w:tcW w:w="9629" w:type="dxa"/>
          </w:tcPr>
          <w:p w14:paraId="4CB0552F" w14:textId="392FEA0F" w:rsidR="00E6415E" w:rsidRPr="00AE422C" w:rsidRDefault="00480EE1" w:rsidP="00C11BE3">
            <w:pPr>
              <w:jc w:val="left"/>
              <w:rPr>
                <w:rFonts w:cs="Arial"/>
                <w:color w:val="000000"/>
                <w:sz w:val="22"/>
                <w:szCs w:val="22"/>
              </w:rPr>
            </w:pPr>
            <w:r w:rsidRPr="00AE422C">
              <w:rPr>
                <w:rFonts w:cs="Arial"/>
                <w:color w:val="000000"/>
                <w:sz w:val="22"/>
                <w:szCs w:val="22"/>
              </w:rPr>
              <w:t xml:space="preserve">Protecting green spaces for both nature and for </w:t>
            </w:r>
            <w:proofErr w:type="gramStart"/>
            <w:r w:rsidRPr="00AE422C">
              <w:rPr>
                <w:rFonts w:cs="Arial"/>
                <w:color w:val="000000"/>
                <w:sz w:val="22"/>
                <w:szCs w:val="22"/>
              </w:rPr>
              <w:t>peoples</w:t>
            </w:r>
            <w:proofErr w:type="gramEnd"/>
            <w:r w:rsidRPr="00AE422C">
              <w:rPr>
                <w:rFonts w:cs="Arial"/>
                <w:color w:val="000000"/>
                <w:sz w:val="22"/>
                <w:szCs w:val="22"/>
              </w:rPr>
              <w:t xml:space="preserve"> wellbeing. This includes parks, fishing ponds, fields, woodland</w:t>
            </w:r>
          </w:p>
        </w:tc>
      </w:tr>
      <w:tr w:rsidR="00E6415E" w14:paraId="6E482358" w14:textId="77777777" w:rsidTr="00C11BE3">
        <w:tc>
          <w:tcPr>
            <w:tcW w:w="9629" w:type="dxa"/>
            <w:shd w:val="clear" w:color="auto" w:fill="0070C0"/>
          </w:tcPr>
          <w:p w14:paraId="33D7864E" w14:textId="56DEFD70" w:rsidR="00E6415E" w:rsidRPr="00AE422C" w:rsidRDefault="0004545D" w:rsidP="00C11BE3">
            <w:pPr>
              <w:jc w:val="left"/>
              <w:rPr>
                <w:rFonts w:cs="Arial"/>
                <w:b/>
                <w:bCs/>
                <w:sz w:val="22"/>
                <w:szCs w:val="22"/>
              </w:rPr>
            </w:pPr>
            <w:r w:rsidRPr="00AE422C">
              <w:rPr>
                <w:rFonts w:cs="Arial"/>
                <w:b/>
                <w:bCs/>
                <w:color w:val="FFFFFF" w:themeColor="background1"/>
                <w:szCs w:val="24"/>
              </w:rPr>
              <w:t>Transport and Highways</w:t>
            </w:r>
          </w:p>
        </w:tc>
      </w:tr>
      <w:tr w:rsidR="00E6415E" w14:paraId="481DE39A" w14:textId="77777777" w:rsidTr="00C11BE3">
        <w:tc>
          <w:tcPr>
            <w:tcW w:w="9629" w:type="dxa"/>
          </w:tcPr>
          <w:p w14:paraId="6080CBF8" w14:textId="4A685354" w:rsidR="00E6415E" w:rsidRPr="00AE422C" w:rsidRDefault="00480EE1" w:rsidP="00C11BE3">
            <w:pPr>
              <w:jc w:val="left"/>
              <w:rPr>
                <w:rFonts w:cs="Arial"/>
                <w:color w:val="000000"/>
                <w:sz w:val="22"/>
                <w:szCs w:val="22"/>
              </w:rPr>
            </w:pPr>
            <w:r w:rsidRPr="00AE422C">
              <w:rPr>
                <w:rFonts w:cs="Arial"/>
                <w:color w:val="000000"/>
                <w:sz w:val="22"/>
                <w:szCs w:val="22"/>
              </w:rPr>
              <w:t>Please put aside money to support the re-opening of the tram bridge.  Some sharing of costs with PCC may get the project off the ground.</w:t>
            </w:r>
          </w:p>
        </w:tc>
      </w:tr>
      <w:tr w:rsidR="00E6415E" w14:paraId="595A65DB" w14:textId="77777777" w:rsidTr="00C11BE3">
        <w:tc>
          <w:tcPr>
            <w:tcW w:w="9629" w:type="dxa"/>
          </w:tcPr>
          <w:p w14:paraId="3DB1641C" w14:textId="7CEC50A5" w:rsidR="00E6415E" w:rsidRPr="00AE422C" w:rsidRDefault="00AE422C" w:rsidP="00C11BE3">
            <w:pPr>
              <w:jc w:val="left"/>
              <w:rPr>
                <w:rFonts w:cs="Arial"/>
                <w:color w:val="000000"/>
                <w:sz w:val="22"/>
                <w:szCs w:val="22"/>
              </w:rPr>
            </w:pPr>
            <w:r>
              <w:rPr>
                <w:rFonts w:cs="Arial"/>
                <w:color w:val="000000"/>
                <w:sz w:val="22"/>
                <w:szCs w:val="22"/>
              </w:rPr>
              <w:t xml:space="preserve">Cycling Leyland loop. Please finish the route with </w:t>
            </w:r>
            <w:proofErr w:type="gramStart"/>
            <w:r>
              <w:rPr>
                <w:rFonts w:cs="Arial"/>
                <w:color w:val="000000"/>
                <w:sz w:val="22"/>
                <w:szCs w:val="22"/>
              </w:rPr>
              <w:t>signage..</w:t>
            </w:r>
            <w:proofErr w:type="gramEnd"/>
            <w:r>
              <w:rPr>
                <w:rFonts w:cs="Arial"/>
                <w:color w:val="000000"/>
                <w:sz w:val="22"/>
                <w:szCs w:val="22"/>
              </w:rPr>
              <w:t xml:space="preserve"> Make route traffic free at least 10 miles. Preston guide is 21 </w:t>
            </w:r>
            <w:proofErr w:type="gramStart"/>
            <w:r>
              <w:rPr>
                <w:rFonts w:cs="Arial"/>
                <w:color w:val="000000"/>
                <w:sz w:val="22"/>
                <w:szCs w:val="22"/>
              </w:rPr>
              <w:t>mile</w:t>
            </w:r>
            <w:proofErr w:type="gramEnd"/>
          </w:p>
        </w:tc>
      </w:tr>
      <w:tr w:rsidR="00E6415E" w14:paraId="015D69B5" w14:textId="77777777" w:rsidTr="00C11BE3">
        <w:tc>
          <w:tcPr>
            <w:tcW w:w="9629" w:type="dxa"/>
            <w:shd w:val="clear" w:color="auto" w:fill="0070C0"/>
          </w:tcPr>
          <w:p w14:paraId="7C025AAC" w14:textId="603F4918" w:rsidR="00E6415E" w:rsidRPr="00AE422C" w:rsidRDefault="00AE422C" w:rsidP="00C11BE3">
            <w:pPr>
              <w:jc w:val="left"/>
              <w:rPr>
                <w:rFonts w:cs="Arial"/>
                <w:b/>
                <w:bCs/>
                <w:color w:val="000000"/>
                <w:sz w:val="22"/>
                <w:szCs w:val="22"/>
              </w:rPr>
            </w:pPr>
            <w:r w:rsidRPr="00AE422C">
              <w:rPr>
                <w:rFonts w:cs="Arial"/>
                <w:b/>
                <w:bCs/>
                <w:color w:val="FFFFFF" w:themeColor="background1"/>
                <w:szCs w:val="24"/>
              </w:rPr>
              <w:t>Investment</w:t>
            </w:r>
          </w:p>
        </w:tc>
      </w:tr>
      <w:tr w:rsidR="00E6415E" w14:paraId="1E9160E0" w14:textId="77777777" w:rsidTr="00C11BE3">
        <w:tc>
          <w:tcPr>
            <w:tcW w:w="9629" w:type="dxa"/>
          </w:tcPr>
          <w:p w14:paraId="7701E3E9" w14:textId="1C69EC17" w:rsidR="00E6415E" w:rsidRPr="00AE422C" w:rsidRDefault="00AE422C" w:rsidP="00C11BE3">
            <w:pPr>
              <w:jc w:val="left"/>
              <w:rPr>
                <w:rFonts w:cs="Arial"/>
                <w:color w:val="000000"/>
                <w:sz w:val="22"/>
                <w:szCs w:val="22"/>
              </w:rPr>
            </w:pPr>
            <w:r w:rsidRPr="00AE422C">
              <w:rPr>
                <w:rFonts w:cs="Arial"/>
                <w:color w:val="000000"/>
                <w:sz w:val="22"/>
                <w:szCs w:val="22"/>
              </w:rPr>
              <w:t>Would like to see some investment in Lostock Hall village centre.</w:t>
            </w:r>
          </w:p>
        </w:tc>
      </w:tr>
      <w:tr w:rsidR="00AE422C" w14:paraId="02589C1E" w14:textId="77777777" w:rsidTr="00C11BE3">
        <w:tc>
          <w:tcPr>
            <w:tcW w:w="9629" w:type="dxa"/>
          </w:tcPr>
          <w:p w14:paraId="4F942B94" w14:textId="66F00030" w:rsidR="00AE422C" w:rsidRPr="00AE422C" w:rsidRDefault="00AE422C" w:rsidP="00AE422C">
            <w:pPr>
              <w:jc w:val="left"/>
              <w:rPr>
                <w:rFonts w:cs="Arial"/>
                <w:color w:val="000000"/>
                <w:sz w:val="22"/>
                <w:szCs w:val="22"/>
              </w:rPr>
            </w:pPr>
            <w:r w:rsidRPr="00AE422C">
              <w:rPr>
                <w:rFonts w:cs="Arial"/>
                <w:color w:val="000000"/>
                <w:sz w:val="22"/>
                <w:szCs w:val="22"/>
              </w:rPr>
              <w:t>Money spent on ALL areas of South Ribble and not just Leyland.   More involvement with the local communities and the smaller parishes, More help for the disabled, and more disabled parking near parks and leisure areas.</w:t>
            </w:r>
          </w:p>
        </w:tc>
      </w:tr>
      <w:tr w:rsidR="00E6415E" w14:paraId="4F90F46A" w14:textId="77777777" w:rsidTr="00C11BE3">
        <w:tc>
          <w:tcPr>
            <w:tcW w:w="9629" w:type="dxa"/>
            <w:shd w:val="clear" w:color="auto" w:fill="0070C0"/>
          </w:tcPr>
          <w:p w14:paraId="4A3E3556" w14:textId="0D7CF743" w:rsidR="00E6415E" w:rsidRPr="00AE422C" w:rsidRDefault="009A557B" w:rsidP="00C11BE3">
            <w:pPr>
              <w:jc w:val="left"/>
              <w:rPr>
                <w:rFonts w:cs="Arial"/>
                <w:b/>
                <w:bCs/>
                <w:color w:val="000000"/>
                <w:sz w:val="22"/>
                <w:szCs w:val="22"/>
              </w:rPr>
            </w:pPr>
            <w:r w:rsidRPr="00AE422C">
              <w:rPr>
                <w:rFonts w:cs="Arial"/>
                <w:b/>
                <w:bCs/>
                <w:color w:val="FFFFFF" w:themeColor="background1"/>
                <w:szCs w:val="24"/>
              </w:rPr>
              <w:t>Cost of Living</w:t>
            </w:r>
            <w:r w:rsidR="00E6415E" w:rsidRPr="00AE422C">
              <w:rPr>
                <w:rFonts w:cs="Arial"/>
                <w:b/>
                <w:bCs/>
                <w:color w:val="FFFFFF" w:themeColor="background1"/>
                <w:szCs w:val="24"/>
              </w:rPr>
              <w:t xml:space="preserve"> </w:t>
            </w:r>
          </w:p>
        </w:tc>
      </w:tr>
      <w:tr w:rsidR="00E6415E" w14:paraId="43713077" w14:textId="77777777" w:rsidTr="00C11BE3">
        <w:tc>
          <w:tcPr>
            <w:tcW w:w="9629" w:type="dxa"/>
          </w:tcPr>
          <w:p w14:paraId="06FD6DFD" w14:textId="7D6CFD81" w:rsidR="00E6415E" w:rsidRPr="00AE422C" w:rsidRDefault="009A557B" w:rsidP="00C11BE3">
            <w:pPr>
              <w:jc w:val="left"/>
              <w:rPr>
                <w:rFonts w:cs="Arial"/>
                <w:color w:val="000000"/>
                <w:sz w:val="22"/>
                <w:szCs w:val="22"/>
              </w:rPr>
            </w:pPr>
            <w:r w:rsidRPr="00AE422C">
              <w:rPr>
                <w:rFonts w:cs="Arial"/>
                <w:color w:val="000000"/>
                <w:sz w:val="22"/>
                <w:szCs w:val="22"/>
              </w:rPr>
              <w:t xml:space="preserve">I think in times like we have </w:t>
            </w:r>
            <w:proofErr w:type="gramStart"/>
            <w:r w:rsidRPr="00AE422C">
              <w:rPr>
                <w:rFonts w:cs="Arial"/>
                <w:color w:val="000000"/>
                <w:sz w:val="22"/>
                <w:szCs w:val="22"/>
              </w:rPr>
              <w:t>at the moment</w:t>
            </w:r>
            <w:proofErr w:type="gramEnd"/>
            <w:r w:rsidRPr="00AE422C">
              <w:rPr>
                <w:rFonts w:cs="Arial"/>
                <w:color w:val="000000"/>
                <w:sz w:val="22"/>
                <w:szCs w:val="22"/>
              </w:rPr>
              <w:t>, increasing Council Tax should be the bear minimum. I do like the plans suggested, but many people are worried more about "heating or eating" than more expensive issues. Please invest more to help people in need ....</w:t>
            </w:r>
          </w:p>
        </w:tc>
      </w:tr>
      <w:tr w:rsidR="00E6415E" w14:paraId="5A01AA3E" w14:textId="77777777" w:rsidTr="00C11BE3">
        <w:tc>
          <w:tcPr>
            <w:tcW w:w="9629" w:type="dxa"/>
          </w:tcPr>
          <w:p w14:paraId="685D2FDA" w14:textId="21CE2BA4" w:rsidR="00E6415E" w:rsidRPr="00AE422C" w:rsidRDefault="00AE422C" w:rsidP="00C11BE3">
            <w:pPr>
              <w:jc w:val="left"/>
              <w:rPr>
                <w:rFonts w:cs="Arial"/>
                <w:color w:val="000000"/>
                <w:sz w:val="22"/>
                <w:szCs w:val="22"/>
              </w:rPr>
            </w:pPr>
            <w:r w:rsidRPr="00AE422C">
              <w:rPr>
                <w:rFonts w:cs="Arial"/>
                <w:color w:val="000000"/>
                <w:sz w:val="22"/>
                <w:szCs w:val="22"/>
              </w:rPr>
              <w:t>Use some of the money to support the poorest through the cost of living crises. Increase council tax for the rest of us in line with inflation (or even a little more) but apply a discount to those who are struggling</w:t>
            </w:r>
          </w:p>
        </w:tc>
      </w:tr>
      <w:tr w:rsidR="00AE422C" w14:paraId="598CC587" w14:textId="77777777" w:rsidTr="00AE422C">
        <w:tc>
          <w:tcPr>
            <w:tcW w:w="9629" w:type="dxa"/>
            <w:shd w:val="clear" w:color="auto" w:fill="0070C0"/>
          </w:tcPr>
          <w:p w14:paraId="4E84D92F" w14:textId="6D9AA643" w:rsidR="00AE422C" w:rsidRPr="00AE422C" w:rsidRDefault="00AE422C" w:rsidP="00C11BE3">
            <w:pPr>
              <w:jc w:val="left"/>
              <w:rPr>
                <w:rFonts w:cs="Arial"/>
                <w:b/>
                <w:bCs/>
                <w:color w:val="FFFFFF" w:themeColor="background1"/>
                <w:sz w:val="22"/>
                <w:szCs w:val="22"/>
              </w:rPr>
            </w:pPr>
            <w:r>
              <w:rPr>
                <w:rFonts w:cs="Arial"/>
                <w:b/>
                <w:bCs/>
                <w:color w:val="FFFFFF" w:themeColor="background1"/>
                <w:sz w:val="22"/>
                <w:szCs w:val="22"/>
              </w:rPr>
              <w:t>Activities for Young People</w:t>
            </w:r>
          </w:p>
        </w:tc>
      </w:tr>
      <w:tr w:rsidR="00AE422C" w14:paraId="3A3E3C9A" w14:textId="77777777" w:rsidTr="00C11BE3">
        <w:tc>
          <w:tcPr>
            <w:tcW w:w="9629" w:type="dxa"/>
          </w:tcPr>
          <w:p w14:paraId="16CC64A8" w14:textId="62230C9C" w:rsidR="00AE422C" w:rsidRPr="00AE422C" w:rsidRDefault="00AE422C" w:rsidP="00C11BE3">
            <w:pPr>
              <w:jc w:val="left"/>
              <w:rPr>
                <w:rFonts w:cs="Arial"/>
                <w:color w:val="000000"/>
                <w:sz w:val="22"/>
                <w:szCs w:val="22"/>
              </w:rPr>
            </w:pPr>
            <w:r>
              <w:rPr>
                <w:rFonts w:cs="Arial"/>
                <w:color w:val="000000"/>
                <w:sz w:val="22"/>
                <w:szCs w:val="22"/>
              </w:rPr>
              <w:t>More activities/youth groups to encourage teenagers to come off the streets and discourage antisocial behaviour. Especially when new parks are being built for younger children and potentially face being ruined by teenagers with nothing better to do.</w:t>
            </w:r>
          </w:p>
        </w:tc>
      </w:tr>
      <w:tr w:rsidR="00AE422C" w14:paraId="55C1A80A" w14:textId="77777777" w:rsidTr="00C11BE3">
        <w:tc>
          <w:tcPr>
            <w:tcW w:w="9629" w:type="dxa"/>
          </w:tcPr>
          <w:p w14:paraId="3A226D23" w14:textId="685B62BD" w:rsidR="00AE422C" w:rsidRPr="00AE422C" w:rsidRDefault="00AE422C" w:rsidP="00C11BE3">
            <w:pPr>
              <w:jc w:val="left"/>
              <w:rPr>
                <w:rFonts w:cs="Arial"/>
                <w:color w:val="000000"/>
                <w:sz w:val="22"/>
                <w:szCs w:val="22"/>
              </w:rPr>
            </w:pPr>
            <w:r>
              <w:rPr>
                <w:rFonts w:cs="Arial"/>
                <w:color w:val="000000"/>
                <w:sz w:val="22"/>
                <w:szCs w:val="22"/>
              </w:rPr>
              <w:t xml:space="preserve">We need to focus on children's, groups from 5 to 18 actives, physical, </w:t>
            </w:r>
            <w:proofErr w:type="spellStart"/>
            <w:r>
              <w:rPr>
                <w:rFonts w:cs="Arial"/>
                <w:color w:val="000000"/>
                <w:sz w:val="22"/>
                <w:szCs w:val="22"/>
              </w:rPr>
              <w:t>socal</w:t>
            </w:r>
            <w:proofErr w:type="spellEnd"/>
            <w:r>
              <w:rPr>
                <w:rFonts w:cs="Arial"/>
                <w:color w:val="000000"/>
                <w:sz w:val="22"/>
                <w:szCs w:val="22"/>
              </w:rPr>
              <w:t xml:space="preserve"> and mental health and groups for LGBT as </w:t>
            </w:r>
            <w:proofErr w:type="spellStart"/>
            <w:r>
              <w:rPr>
                <w:rFonts w:cs="Arial"/>
                <w:color w:val="000000"/>
                <w:sz w:val="22"/>
                <w:szCs w:val="22"/>
              </w:rPr>
              <w:t>thire</w:t>
            </w:r>
            <w:proofErr w:type="spellEnd"/>
            <w:r>
              <w:rPr>
                <w:rFonts w:cs="Arial"/>
                <w:color w:val="000000"/>
                <w:sz w:val="22"/>
                <w:szCs w:val="22"/>
              </w:rPr>
              <w:t xml:space="preserve"> are several parents and children who need to feel part of the community. </w:t>
            </w:r>
            <w:proofErr w:type="gramStart"/>
            <w:r>
              <w:rPr>
                <w:rFonts w:cs="Arial"/>
                <w:color w:val="000000"/>
                <w:sz w:val="22"/>
                <w:szCs w:val="22"/>
              </w:rPr>
              <w:t>Also</w:t>
            </w:r>
            <w:proofErr w:type="gramEnd"/>
            <w:r>
              <w:rPr>
                <w:rFonts w:cs="Arial"/>
                <w:color w:val="000000"/>
                <w:sz w:val="22"/>
                <w:szCs w:val="22"/>
              </w:rPr>
              <w:t xml:space="preserve"> youth groups as well as showing or helping them to gain skills and not follow the wrong path. Budgeting classes for those who struggle. The Base on </w:t>
            </w:r>
            <w:proofErr w:type="spellStart"/>
            <w:r>
              <w:rPr>
                <w:rFonts w:cs="Arial"/>
                <w:color w:val="000000"/>
                <w:sz w:val="22"/>
                <w:szCs w:val="22"/>
              </w:rPr>
              <w:t>broadfield</w:t>
            </w:r>
            <w:proofErr w:type="spellEnd"/>
            <w:r>
              <w:rPr>
                <w:rFonts w:cs="Arial"/>
                <w:color w:val="000000"/>
                <w:sz w:val="22"/>
                <w:szCs w:val="22"/>
              </w:rPr>
              <w:t xml:space="preserve"> drive do </w:t>
            </w:r>
            <w:proofErr w:type="spellStart"/>
            <w:r>
              <w:rPr>
                <w:rFonts w:cs="Arial"/>
                <w:color w:val="000000"/>
                <w:sz w:val="22"/>
                <w:szCs w:val="22"/>
              </w:rPr>
              <w:t>exelent</w:t>
            </w:r>
            <w:proofErr w:type="spellEnd"/>
            <w:r>
              <w:rPr>
                <w:rFonts w:cs="Arial"/>
                <w:color w:val="000000"/>
                <w:sz w:val="22"/>
                <w:szCs w:val="22"/>
              </w:rPr>
              <w:t xml:space="preserve"> work and offer groups and support to families. So why not invest in a </w:t>
            </w:r>
            <w:proofErr w:type="gramStart"/>
            <w:r>
              <w:rPr>
                <w:rFonts w:cs="Arial"/>
                <w:color w:val="000000"/>
                <w:sz w:val="22"/>
                <w:szCs w:val="22"/>
              </w:rPr>
              <w:t>purpose built</w:t>
            </w:r>
            <w:proofErr w:type="gramEnd"/>
            <w:r>
              <w:rPr>
                <w:rFonts w:cs="Arial"/>
                <w:color w:val="000000"/>
                <w:sz w:val="22"/>
                <w:szCs w:val="22"/>
              </w:rPr>
              <w:t xml:space="preserve"> community hub like the one in Chorley. run by the volunteers at the base this would benefit the whole community and we would </w:t>
            </w:r>
            <w:proofErr w:type="spellStart"/>
            <w:r>
              <w:rPr>
                <w:rFonts w:cs="Arial"/>
                <w:color w:val="000000"/>
                <w:sz w:val="22"/>
                <w:szCs w:val="22"/>
              </w:rPr>
              <w:t>reep</w:t>
            </w:r>
            <w:proofErr w:type="spellEnd"/>
            <w:r>
              <w:rPr>
                <w:rFonts w:cs="Arial"/>
                <w:color w:val="000000"/>
                <w:sz w:val="22"/>
                <w:szCs w:val="22"/>
              </w:rPr>
              <w:t xml:space="preserve"> the reward of better positive outcomes for those less fortunate.</w:t>
            </w:r>
          </w:p>
        </w:tc>
      </w:tr>
      <w:tr w:rsidR="00E6415E" w14:paraId="76E1145E" w14:textId="77777777" w:rsidTr="00C11BE3">
        <w:tc>
          <w:tcPr>
            <w:tcW w:w="9629" w:type="dxa"/>
            <w:shd w:val="clear" w:color="auto" w:fill="0070C0"/>
          </w:tcPr>
          <w:p w14:paraId="0CECE385" w14:textId="4345E014" w:rsidR="00E6415E" w:rsidRPr="00AE422C" w:rsidRDefault="00AE422C" w:rsidP="00C11BE3">
            <w:pPr>
              <w:jc w:val="left"/>
              <w:rPr>
                <w:rFonts w:cs="Arial"/>
                <w:b/>
                <w:bCs/>
                <w:color w:val="000000"/>
                <w:sz w:val="22"/>
                <w:szCs w:val="22"/>
              </w:rPr>
            </w:pPr>
            <w:r>
              <w:rPr>
                <w:rFonts w:cs="Arial"/>
                <w:b/>
                <w:bCs/>
                <w:color w:val="FFFFFF" w:themeColor="background1"/>
                <w:szCs w:val="22"/>
              </w:rPr>
              <w:t>Environment</w:t>
            </w:r>
          </w:p>
        </w:tc>
      </w:tr>
      <w:tr w:rsidR="00E6415E" w14:paraId="68197BC9" w14:textId="77777777" w:rsidTr="00C11BE3">
        <w:tc>
          <w:tcPr>
            <w:tcW w:w="9629" w:type="dxa"/>
          </w:tcPr>
          <w:p w14:paraId="33D75D0D" w14:textId="6D9F5289" w:rsidR="00E6415E" w:rsidRPr="00AE422C" w:rsidRDefault="00AE422C" w:rsidP="00C11BE3">
            <w:pPr>
              <w:jc w:val="left"/>
              <w:rPr>
                <w:rFonts w:cs="Arial"/>
                <w:color w:val="000000"/>
                <w:sz w:val="22"/>
                <w:szCs w:val="22"/>
              </w:rPr>
            </w:pPr>
            <w:r>
              <w:rPr>
                <w:rFonts w:cs="Arial"/>
                <w:color w:val="000000"/>
                <w:sz w:val="22"/>
                <w:szCs w:val="22"/>
              </w:rPr>
              <w:t>Need more trees and wildflower meadows, help to fund maintaining natural areas to walk and enjoy to help mental health and physical health, help to encourage and protect wildlife and help for small independent businesses to recover from the pandemic</w:t>
            </w:r>
          </w:p>
        </w:tc>
      </w:tr>
      <w:tr w:rsidR="00E6415E" w14:paraId="2D28008D" w14:textId="77777777" w:rsidTr="00C11BE3">
        <w:tc>
          <w:tcPr>
            <w:tcW w:w="9629" w:type="dxa"/>
          </w:tcPr>
          <w:p w14:paraId="34AEB379" w14:textId="6412986B" w:rsidR="00E6415E" w:rsidRPr="00DD36E5" w:rsidRDefault="00AE422C" w:rsidP="00C11BE3">
            <w:pPr>
              <w:jc w:val="left"/>
              <w:rPr>
                <w:rFonts w:cs="Arial"/>
                <w:color w:val="000000"/>
                <w:sz w:val="22"/>
                <w:szCs w:val="22"/>
              </w:rPr>
            </w:pPr>
            <w:r>
              <w:rPr>
                <w:rFonts w:cs="Arial"/>
                <w:color w:val="000000"/>
                <w:sz w:val="22"/>
                <w:szCs w:val="22"/>
              </w:rPr>
              <w:t xml:space="preserve">Please invest more funds into protecting our green spaces and increasing biodiversity. Where I live in lower </w:t>
            </w:r>
            <w:proofErr w:type="spellStart"/>
            <w:r>
              <w:rPr>
                <w:rFonts w:cs="Arial"/>
                <w:color w:val="000000"/>
                <w:sz w:val="22"/>
                <w:szCs w:val="22"/>
              </w:rPr>
              <w:t>Pemwortham</w:t>
            </w:r>
            <w:proofErr w:type="spellEnd"/>
            <w:r>
              <w:rPr>
                <w:rFonts w:cs="Arial"/>
                <w:color w:val="000000"/>
                <w:sz w:val="22"/>
                <w:szCs w:val="22"/>
              </w:rPr>
              <w:t xml:space="preserve">, hundreds of </w:t>
            </w:r>
            <w:proofErr w:type="gramStart"/>
            <w:r>
              <w:rPr>
                <w:rFonts w:cs="Arial"/>
                <w:color w:val="000000"/>
                <w:sz w:val="22"/>
                <w:szCs w:val="22"/>
              </w:rPr>
              <w:t>tree</w:t>
            </w:r>
            <w:proofErr w:type="gramEnd"/>
            <w:r>
              <w:rPr>
                <w:rFonts w:cs="Arial"/>
                <w:color w:val="000000"/>
                <w:sz w:val="22"/>
                <w:szCs w:val="22"/>
              </w:rPr>
              <w:t xml:space="preserve"> are being felled to make way for the flood defences. There are so many areas where grass could be turned into wildlife areas, small wooded </w:t>
            </w:r>
            <w:proofErr w:type="gramStart"/>
            <w:r>
              <w:rPr>
                <w:rFonts w:cs="Arial"/>
                <w:color w:val="000000"/>
                <w:sz w:val="22"/>
                <w:szCs w:val="22"/>
              </w:rPr>
              <w:t>areas</w:t>
            </w:r>
            <w:proofErr w:type="gramEnd"/>
            <w:r>
              <w:rPr>
                <w:rFonts w:cs="Arial"/>
                <w:color w:val="000000"/>
                <w:sz w:val="22"/>
                <w:szCs w:val="22"/>
              </w:rPr>
              <w:t xml:space="preserve"> or community gardens/orchards. Less grass and more trees please!</w:t>
            </w:r>
          </w:p>
        </w:tc>
      </w:tr>
    </w:tbl>
    <w:p w14:paraId="72A9E1A9" w14:textId="77777777" w:rsidR="00E6415E" w:rsidRPr="002B6BB2" w:rsidRDefault="00E6415E" w:rsidP="00E6415E">
      <w:pPr>
        <w:jc w:val="left"/>
        <w:rPr>
          <w:rFonts w:cs="Arial"/>
          <w:szCs w:val="28"/>
        </w:rPr>
      </w:pPr>
    </w:p>
    <w:p w14:paraId="347AF5D9" w14:textId="77777777" w:rsidR="00E6415E" w:rsidRDefault="00E6415E"/>
    <w:sectPr w:rsidR="00E6415E" w:rsidSect="00015880">
      <w:pgSz w:w="11907" w:h="16840" w:code="9"/>
      <w:pgMar w:top="851" w:right="1134" w:bottom="1134" w:left="1134" w:header="680" w:footer="374"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86BA1" w14:textId="77777777" w:rsidR="0004176C" w:rsidRDefault="00D66B09">
      <w:r>
        <w:separator/>
      </w:r>
    </w:p>
  </w:endnote>
  <w:endnote w:type="continuationSeparator" w:id="0">
    <w:p w14:paraId="06E6051F" w14:textId="77777777" w:rsidR="0004176C" w:rsidRDefault="00D6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2344" w14:textId="77777777" w:rsidR="00EE3FC0" w:rsidRDefault="00270414">
    <w:pPr>
      <w:pStyle w:val="Footer"/>
      <w:tabs>
        <w:tab w:val="clear" w:pos="8640"/>
        <w:tab w:val="right" w:pos="8522"/>
      </w:tabs>
      <w:ind w:left="142"/>
      <w:rPr>
        <w:sz w:val="4"/>
      </w:rPr>
    </w:pPr>
  </w:p>
  <w:p w14:paraId="366EB674" w14:textId="77777777" w:rsidR="00EE3FC0" w:rsidRDefault="0027041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56243" w14:textId="77777777" w:rsidR="0004176C" w:rsidRDefault="00D66B09">
      <w:r>
        <w:separator/>
      </w:r>
    </w:p>
  </w:footnote>
  <w:footnote w:type="continuationSeparator" w:id="0">
    <w:p w14:paraId="4D23D7D8" w14:textId="77777777" w:rsidR="0004176C" w:rsidRDefault="00D66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662B5"/>
    <w:multiLevelType w:val="hybridMultilevel"/>
    <w:tmpl w:val="FB9C1BA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85B06D2"/>
    <w:multiLevelType w:val="hybridMultilevel"/>
    <w:tmpl w:val="9CC23314"/>
    <w:lvl w:ilvl="0" w:tplc="FAC033C6">
      <w:start w:val="1"/>
      <w:numFmt w:val="decimal"/>
      <w:lvlText w:val="%1."/>
      <w:lvlJc w:val="left"/>
      <w:pPr>
        <w:tabs>
          <w:tab w:val="num" w:pos="567"/>
        </w:tabs>
        <w:ind w:left="567" w:hanging="567"/>
      </w:pPr>
      <w:rPr>
        <w:rFonts w:hint="default"/>
        <w:b w:val="0"/>
        <w:color w:val="auto"/>
        <w:sz w:val="24"/>
        <w:szCs w:val="24"/>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8B7B21"/>
    <w:multiLevelType w:val="hybridMultilevel"/>
    <w:tmpl w:val="BE58E13E"/>
    <w:lvl w:ilvl="0" w:tplc="CC5EC250">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1B6330"/>
    <w:multiLevelType w:val="hybridMultilevel"/>
    <w:tmpl w:val="D62CF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ED10BB"/>
    <w:multiLevelType w:val="hybridMultilevel"/>
    <w:tmpl w:val="025E08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E9D50AD"/>
    <w:multiLevelType w:val="hybridMultilevel"/>
    <w:tmpl w:val="9B300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lvlOverride w:ilvl="0">
      <w:lvl w:ilvl="0" w:tplc="FAC033C6">
        <w:start w:val="1"/>
        <w:numFmt w:val="decimal"/>
        <w:lvlText w:val="%1."/>
        <w:lvlJc w:val="left"/>
        <w:pPr>
          <w:ind w:left="567" w:hanging="567"/>
        </w:pPr>
        <w:rPr>
          <w:rFonts w:hint="default"/>
          <w:color w:val="auto"/>
        </w:rPr>
      </w:lvl>
    </w:lvlOverride>
    <w:lvlOverride w:ilvl="1">
      <w:lvl w:ilvl="1" w:tplc="08090001"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5E"/>
    <w:rsid w:val="00040172"/>
    <w:rsid w:val="0004176C"/>
    <w:rsid w:val="0004545D"/>
    <w:rsid w:val="00064F8C"/>
    <w:rsid w:val="000D12EF"/>
    <w:rsid w:val="000D231E"/>
    <w:rsid w:val="000E358F"/>
    <w:rsid w:val="000F7478"/>
    <w:rsid w:val="00243BD1"/>
    <w:rsid w:val="002460EB"/>
    <w:rsid w:val="00270414"/>
    <w:rsid w:val="002C681B"/>
    <w:rsid w:val="0039478A"/>
    <w:rsid w:val="003A04A8"/>
    <w:rsid w:val="00435F4E"/>
    <w:rsid w:val="00472ED1"/>
    <w:rsid w:val="00480EE1"/>
    <w:rsid w:val="005172FB"/>
    <w:rsid w:val="00531127"/>
    <w:rsid w:val="0054250F"/>
    <w:rsid w:val="0059643E"/>
    <w:rsid w:val="005A2B2F"/>
    <w:rsid w:val="005A705D"/>
    <w:rsid w:val="00622F60"/>
    <w:rsid w:val="006F78BF"/>
    <w:rsid w:val="0070213B"/>
    <w:rsid w:val="00717FB2"/>
    <w:rsid w:val="0072611E"/>
    <w:rsid w:val="00741339"/>
    <w:rsid w:val="00766A8C"/>
    <w:rsid w:val="00787AC0"/>
    <w:rsid w:val="00810E79"/>
    <w:rsid w:val="00823959"/>
    <w:rsid w:val="00857DD0"/>
    <w:rsid w:val="00884328"/>
    <w:rsid w:val="00895A07"/>
    <w:rsid w:val="008D5392"/>
    <w:rsid w:val="008E3B6D"/>
    <w:rsid w:val="009117EC"/>
    <w:rsid w:val="00916F26"/>
    <w:rsid w:val="009338BC"/>
    <w:rsid w:val="009521E7"/>
    <w:rsid w:val="00975B72"/>
    <w:rsid w:val="00993EEA"/>
    <w:rsid w:val="009A557B"/>
    <w:rsid w:val="00A209A5"/>
    <w:rsid w:val="00A34C7B"/>
    <w:rsid w:val="00A734E5"/>
    <w:rsid w:val="00A93C83"/>
    <w:rsid w:val="00AE422C"/>
    <w:rsid w:val="00B06087"/>
    <w:rsid w:val="00B15ABD"/>
    <w:rsid w:val="00B37E76"/>
    <w:rsid w:val="00B86E6B"/>
    <w:rsid w:val="00BA64FB"/>
    <w:rsid w:val="00BD26C9"/>
    <w:rsid w:val="00C0135D"/>
    <w:rsid w:val="00C06245"/>
    <w:rsid w:val="00D27D6B"/>
    <w:rsid w:val="00D66B09"/>
    <w:rsid w:val="00E247F5"/>
    <w:rsid w:val="00E6415E"/>
    <w:rsid w:val="00E960D3"/>
    <w:rsid w:val="00EF25B9"/>
    <w:rsid w:val="00F1346D"/>
    <w:rsid w:val="00F15DFF"/>
    <w:rsid w:val="00F3171E"/>
    <w:rsid w:val="00F641D6"/>
    <w:rsid w:val="00F70C3F"/>
    <w:rsid w:val="00FB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ED93"/>
  <w15:chartTrackingRefBased/>
  <w15:docId w15:val="{0A60CD10-1962-4A06-99D8-29040816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5E"/>
    <w:pPr>
      <w:spacing w:after="0" w:line="240" w:lineRule="auto"/>
      <w:jc w:val="both"/>
    </w:pPr>
    <w:rPr>
      <w:rFonts w:ascii="Arial" w:eastAsia="Times New Roman" w:hAnsi="Arial" w:cs="Times New Roman"/>
      <w:sz w:val="24"/>
      <w:szCs w:val="20"/>
    </w:rPr>
  </w:style>
  <w:style w:type="paragraph" w:styleId="Heading7">
    <w:name w:val="heading 7"/>
    <w:basedOn w:val="Normal"/>
    <w:next w:val="Normal"/>
    <w:link w:val="Heading7Char"/>
    <w:qFormat/>
    <w:rsid w:val="00E6415E"/>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6415E"/>
    <w:rPr>
      <w:rFonts w:ascii="Arial" w:eastAsia="Times New Roman" w:hAnsi="Arial" w:cs="Times New Roman"/>
      <w:b/>
      <w:bCs/>
      <w:szCs w:val="20"/>
    </w:rPr>
  </w:style>
  <w:style w:type="paragraph" w:styleId="Footer">
    <w:name w:val="footer"/>
    <w:basedOn w:val="Normal"/>
    <w:link w:val="FooterChar"/>
    <w:rsid w:val="00E6415E"/>
    <w:pPr>
      <w:tabs>
        <w:tab w:val="center" w:pos="4320"/>
        <w:tab w:val="right" w:pos="8640"/>
      </w:tabs>
    </w:pPr>
  </w:style>
  <w:style w:type="character" w:customStyle="1" w:styleId="FooterChar">
    <w:name w:val="Footer Char"/>
    <w:basedOn w:val="DefaultParagraphFont"/>
    <w:link w:val="Footer"/>
    <w:rsid w:val="00E6415E"/>
    <w:rPr>
      <w:rFonts w:ascii="Arial" w:eastAsia="Times New Roman" w:hAnsi="Arial" w:cs="Times New Roman"/>
      <w:sz w:val="24"/>
      <w:szCs w:val="20"/>
    </w:rPr>
  </w:style>
  <w:style w:type="paragraph" w:styleId="BlockText">
    <w:name w:val="Block Text"/>
    <w:basedOn w:val="Normal"/>
    <w:rsid w:val="00E6415E"/>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table" w:styleId="TableGrid">
    <w:name w:val="Table Grid"/>
    <w:basedOn w:val="TableNormal"/>
    <w:rsid w:val="00E6415E"/>
    <w:pPr>
      <w:spacing w:after="0" w:line="240" w:lineRule="auto"/>
      <w:jc w:val="both"/>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15E"/>
    <w:pPr>
      <w:ind w:left="720"/>
      <w:contextualSpacing/>
    </w:pPr>
  </w:style>
  <w:style w:type="table" w:customStyle="1" w:styleId="TableGrid1">
    <w:name w:val="Table Grid1"/>
    <w:basedOn w:val="TableNormal"/>
    <w:next w:val="TableGrid"/>
    <w:uiPriority w:val="59"/>
    <w:rsid w:val="00E6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12EF"/>
    <w:rPr>
      <w:sz w:val="16"/>
      <w:szCs w:val="16"/>
    </w:rPr>
  </w:style>
  <w:style w:type="paragraph" w:styleId="CommentText">
    <w:name w:val="annotation text"/>
    <w:basedOn w:val="Normal"/>
    <w:link w:val="CommentTextChar"/>
    <w:uiPriority w:val="99"/>
    <w:semiHidden/>
    <w:unhideWhenUsed/>
    <w:rsid w:val="000D12EF"/>
    <w:rPr>
      <w:sz w:val="20"/>
    </w:rPr>
  </w:style>
  <w:style w:type="character" w:customStyle="1" w:styleId="CommentTextChar">
    <w:name w:val="Comment Text Char"/>
    <w:basedOn w:val="DefaultParagraphFont"/>
    <w:link w:val="CommentText"/>
    <w:uiPriority w:val="99"/>
    <w:semiHidden/>
    <w:rsid w:val="000D12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12EF"/>
    <w:rPr>
      <w:b/>
      <w:bCs/>
    </w:rPr>
  </w:style>
  <w:style w:type="character" w:customStyle="1" w:styleId="CommentSubjectChar">
    <w:name w:val="Comment Subject Char"/>
    <w:basedOn w:val="CommentTextChar"/>
    <w:link w:val="CommentSubject"/>
    <w:uiPriority w:val="99"/>
    <w:semiHidden/>
    <w:rsid w:val="000D12E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D1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2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3747">
      <w:bodyDiv w:val="1"/>
      <w:marLeft w:val="0"/>
      <w:marRight w:val="0"/>
      <w:marTop w:val="0"/>
      <w:marBottom w:val="0"/>
      <w:divBdr>
        <w:top w:val="none" w:sz="0" w:space="0" w:color="auto"/>
        <w:left w:val="none" w:sz="0" w:space="0" w:color="auto"/>
        <w:bottom w:val="none" w:sz="0" w:space="0" w:color="auto"/>
        <w:right w:val="none" w:sz="0" w:space="0" w:color="auto"/>
      </w:divBdr>
    </w:div>
    <w:div w:id="325061784">
      <w:bodyDiv w:val="1"/>
      <w:marLeft w:val="0"/>
      <w:marRight w:val="0"/>
      <w:marTop w:val="0"/>
      <w:marBottom w:val="0"/>
      <w:divBdr>
        <w:top w:val="none" w:sz="0" w:space="0" w:color="auto"/>
        <w:left w:val="none" w:sz="0" w:space="0" w:color="auto"/>
        <w:bottom w:val="none" w:sz="0" w:space="0" w:color="auto"/>
        <w:right w:val="none" w:sz="0" w:space="0" w:color="auto"/>
      </w:divBdr>
    </w:div>
    <w:div w:id="730932797">
      <w:bodyDiv w:val="1"/>
      <w:marLeft w:val="0"/>
      <w:marRight w:val="0"/>
      <w:marTop w:val="0"/>
      <w:marBottom w:val="0"/>
      <w:divBdr>
        <w:top w:val="none" w:sz="0" w:space="0" w:color="auto"/>
        <w:left w:val="none" w:sz="0" w:space="0" w:color="auto"/>
        <w:bottom w:val="none" w:sz="0" w:space="0" w:color="auto"/>
        <w:right w:val="none" w:sz="0" w:space="0" w:color="auto"/>
      </w:divBdr>
    </w:div>
    <w:div w:id="987124234">
      <w:bodyDiv w:val="1"/>
      <w:marLeft w:val="0"/>
      <w:marRight w:val="0"/>
      <w:marTop w:val="0"/>
      <w:marBottom w:val="0"/>
      <w:divBdr>
        <w:top w:val="none" w:sz="0" w:space="0" w:color="auto"/>
        <w:left w:val="none" w:sz="0" w:space="0" w:color="auto"/>
        <w:bottom w:val="none" w:sz="0" w:space="0" w:color="auto"/>
        <w:right w:val="none" w:sz="0" w:space="0" w:color="auto"/>
      </w:divBdr>
    </w:div>
    <w:div w:id="1058942071">
      <w:bodyDiv w:val="1"/>
      <w:marLeft w:val="0"/>
      <w:marRight w:val="0"/>
      <w:marTop w:val="0"/>
      <w:marBottom w:val="0"/>
      <w:divBdr>
        <w:top w:val="none" w:sz="0" w:space="0" w:color="auto"/>
        <w:left w:val="none" w:sz="0" w:space="0" w:color="auto"/>
        <w:bottom w:val="none" w:sz="0" w:space="0" w:color="auto"/>
        <w:right w:val="none" w:sz="0" w:space="0" w:color="auto"/>
      </w:divBdr>
    </w:div>
    <w:div w:id="1074359628">
      <w:bodyDiv w:val="1"/>
      <w:marLeft w:val="0"/>
      <w:marRight w:val="0"/>
      <w:marTop w:val="0"/>
      <w:marBottom w:val="0"/>
      <w:divBdr>
        <w:top w:val="none" w:sz="0" w:space="0" w:color="auto"/>
        <w:left w:val="none" w:sz="0" w:space="0" w:color="auto"/>
        <w:bottom w:val="none" w:sz="0" w:space="0" w:color="auto"/>
        <w:right w:val="none" w:sz="0" w:space="0" w:color="auto"/>
      </w:divBdr>
    </w:div>
    <w:div w:id="1075323367">
      <w:bodyDiv w:val="1"/>
      <w:marLeft w:val="0"/>
      <w:marRight w:val="0"/>
      <w:marTop w:val="0"/>
      <w:marBottom w:val="0"/>
      <w:divBdr>
        <w:top w:val="none" w:sz="0" w:space="0" w:color="auto"/>
        <w:left w:val="none" w:sz="0" w:space="0" w:color="auto"/>
        <w:bottom w:val="none" w:sz="0" w:space="0" w:color="auto"/>
        <w:right w:val="none" w:sz="0" w:space="0" w:color="auto"/>
      </w:divBdr>
    </w:div>
    <w:div w:id="1323120721">
      <w:bodyDiv w:val="1"/>
      <w:marLeft w:val="0"/>
      <w:marRight w:val="0"/>
      <w:marTop w:val="0"/>
      <w:marBottom w:val="0"/>
      <w:divBdr>
        <w:top w:val="none" w:sz="0" w:space="0" w:color="auto"/>
        <w:left w:val="none" w:sz="0" w:space="0" w:color="auto"/>
        <w:bottom w:val="none" w:sz="0" w:space="0" w:color="auto"/>
        <w:right w:val="none" w:sz="0" w:space="0" w:color="auto"/>
      </w:divBdr>
    </w:div>
    <w:div w:id="1524594225">
      <w:bodyDiv w:val="1"/>
      <w:marLeft w:val="0"/>
      <w:marRight w:val="0"/>
      <w:marTop w:val="0"/>
      <w:marBottom w:val="0"/>
      <w:divBdr>
        <w:top w:val="none" w:sz="0" w:space="0" w:color="auto"/>
        <w:left w:val="none" w:sz="0" w:space="0" w:color="auto"/>
        <w:bottom w:val="none" w:sz="0" w:space="0" w:color="auto"/>
        <w:right w:val="none" w:sz="0" w:space="0" w:color="auto"/>
      </w:divBdr>
    </w:div>
    <w:div w:id="1616405473">
      <w:bodyDiv w:val="1"/>
      <w:marLeft w:val="0"/>
      <w:marRight w:val="0"/>
      <w:marTop w:val="0"/>
      <w:marBottom w:val="0"/>
      <w:divBdr>
        <w:top w:val="none" w:sz="0" w:space="0" w:color="auto"/>
        <w:left w:val="none" w:sz="0" w:space="0" w:color="auto"/>
        <w:bottom w:val="none" w:sz="0" w:space="0" w:color="auto"/>
        <w:right w:val="none" w:sz="0" w:space="0" w:color="auto"/>
      </w:divBdr>
    </w:div>
    <w:div w:id="1654990225">
      <w:bodyDiv w:val="1"/>
      <w:marLeft w:val="0"/>
      <w:marRight w:val="0"/>
      <w:marTop w:val="0"/>
      <w:marBottom w:val="0"/>
      <w:divBdr>
        <w:top w:val="none" w:sz="0" w:space="0" w:color="auto"/>
        <w:left w:val="none" w:sz="0" w:space="0" w:color="auto"/>
        <w:bottom w:val="none" w:sz="0" w:space="0" w:color="auto"/>
        <w:right w:val="none" w:sz="0" w:space="0" w:color="auto"/>
      </w:divBdr>
    </w:div>
    <w:div w:id="2127042821">
      <w:bodyDiv w:val="1"/>
      <w:marLeft w:val="0"/>
      <w:marRight w:val="0"/>
      <w:marTop w:val="0"/>
      <w:marBottom w:val="0"/>
      <w:divBdr>
        <w:top w:val="none" w:sz="0" w:space="0" w:color="auto"/>
        <w:left w:val="none" w:sz="0" w:space="0" w:color="auto"/>
        <w:bottom w:val="none" w:sz="0" w:space="0" w:color="auto"/>
        <w:right w:val="none" w:sz="0" w:space="0" w:color="auto"/>
      </w:divBdr>
    </w:div>
    <w:div w:id="2138452829">
      <w:bodyDiv w:val="1"/>
      <w:marLeft w:val="0"/>
      <w:marRight w:val="0"/>
      <w:marTop w:val="0"/>
      <w:marBottom w:val="0"/>
      <w:divBdr>
        <w:top w:val="none" w:sz="0" w:space="0" w:color="auto"/>
        <w:left w:val="none" w:sz="0" w:space="0" w:color="auto"/>
        <w:bottom w:val="none" w:sz="0" w:space="0" w:color="auto"/>
        <w:right w:val="none" w:sz="0" w:space="0" w:color="auto"/>
      </w:divBdr>
    </w:div>
    <w:div w:id="2138796783">
      <w:bodyDiv w:val="1"/>
      <w:marLeft w:val="0"/>
      <w:marRight w:val="0"/>
      <w:marTop w:val="0"/>
      <w:marBottom w:val="0"/>
      <w:divBdr>
        <w:top w:val="none" w:sz="0" w:space="0" w:color="auto"/>
        <w:left w:val="none" w:sz="0" w:space="0" w:color="auto"/>
        <w:bottom w:val="none" w:sz="0" w:space="0" w:color="auto"/>
        <w:right w:val="none" w:sz="0" w:space="0" w:color="auto"/>
      </w:divBdr>
    </w:div>
    <w:div w:id="21414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Priorities that were scored 4 or 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Improving Leyland town centre including delivering the plans set out in the Town Deal</c:v>
                </c:pt>
                <c:pt idx="1">
                  <c:v>Support the development of affordable homes</c:v>
                </c:pt>
                <c:pt idx="2">
                  <c:v>Supporting businesses to get back on their feet after Covid</c:v>
                </c:pt>
                <c:pt idx="3">
                  <c:v>Support communities and community facilities to thrive through the community hub boost fund</c:v>
                </c:pt>
                <c:pt idx="4">
                  <c:v>Delivering excellent leisure services and running leisure centres efficiently </c:v>
                </c:pt>
                <c:pt idx="5">
                  <c:v>Improvements to play areas and open spaces across the borough</c:v>
                </c:pt>
                <c:pt idx="6">
                  <c:v>Taking steps to retain wealth within the borough through local job creation </c:v>
                </c:pt>
                <c:pt idx="7">
                  <c:v>Work to target grot spots and environmental improvements</c:v>
                </c:pt>
              </c:strCache>
            </c:strRef>
          </c:cat>
          <c:val>
            <c:numRef>
              <c:f>Sheet1!$B$2:$B$9</c:f>
              <c:numCache>
                <c:formatCode>0.0%</c:formatCode>
                <c:ptCount val="8"/>
                <c:pt idx="0">
                  <c:v>0.36099999999999999</c:v>
                </c:pt>
                <c:pt idx="1">
                  <c:v>0.42299999999999999</c:v>
                </c:pt>
                <c:pt idx="2">
                  <c:v>0.52700000000000002</c:v>
                </c:pt>
                <c:pt idx="3">
                  <c:v>0.628</c:v>
                </c:pt>
                <c:pt idx="4">
                  <c:v>0.68500000000000005</c:v>
                </c:pt>
                <c:pt idx="5">
                  <c:v>0.68600000000000005</c:v>
                </c:pt>
                <c:pt idx="6">
                  <c:v>0.72199999999999998</c:v>
                </c:pt>
                <c:pt idx="7">
                  <c:v>0.78900000000000003</c:v>
                </c:pt>
              </c:numCache>
            </c:numRef>
          </c:val>
          <c:extLst>
            <c:ext xmlns:c16="http://schemas.microsoft.com/office/drawing/2014/chart" uri="{C3380CC4-5D6E-409C-BE32-E72D297353CC}">
              <c16:uniqueId val="{00000000-3BA5-4F43-832E-105BFDB69640}"/>
            </c:ext>
          </c:extLst>
        </c:ser>
        <c:dLbls>
          <c:dLblPos val="outEnd"/>
          <c:showLegendKey val="0"/>
          <c:showVal val="1"/>
          <c:showCatName val="0"/>
          <c:showSerName val="0"/>
          <c:showPercent val="0"/>
          <c:showBubbleSize val="0"/>
        </c:dLbls>
        <c:gapWidth val="182"/>
        <c:axId val="593400016"/>
        <c:axId val="593406248"/>
      </c:barChart>
      <c:catAx>
        <c:axId val="593400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406248"/>
        <c:crosses val="autoZero"/>
        <c:auto val="1"/>
        <c:lblAlgn val="ctr"/>
        <c:lblOffset val="100"/>
        <c:noMultiLvlLbl val="0"/>
      </c:catAx>
      <c:valAx>
        <c:axId val="5934062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400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Repsponses</a:t>
            </a:r>
            <a:r>
              <a:rPr lang="en-US" baseline="0"/>
              <a:t> that were scored 1 or 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Work to target grot spots and environmental improvements</c:v>
                </c:pt>
                <c:pt idx="1">
                  <c:v>Taking steps to retain wealth within the borough through local job creation</c:v>
                </c:pt>
                <c:pt idx="2">
                  <c:v>Improvements to play areas and open spaces across the borough </c:v>
                </c:pt>
                <c:pt idx="3">
                  <c:v>Supporting businesses to get back on their feet after Covid</c:v>
                </c:pt>
                <c:pt idx="4">
                  <c:v>Support communities and community facilities to thrive through the community hub boost fund</c:v>
                </c:pt>
                <c:pt idx="5">
                  <c:v>Delivering excellent leisure services and running leisure centres efficiently</c:v>
                </c:pt>
                <c:pt idx="6">
                  <c:v>Improving Leyland town centre including delivering the plans set out in the Town Deal</c:v>
                </c:pt>
                <c:pt idx="7">
                  <c:v>Support the development of affordable homes</c:v>
                </c:pt>
              </c:strCache>
            </c:strRef>
          </c:cat>
          <c:val>
            <c:numRef>
              <c:f>Sheet1!$B$2:$B$9</c:f>
              <c:numCache>
                <c:formatCode>0.0%</c:formatCode>
                <c:ptCount val="8"/>
                <c:pt idx="0">
                  <c:v>5.0999999999999997E-2</c:v>
                </c:pt>
                <c:pt idx="1">
                  <c:v>8.2000000000000003E-2</c:v>
                </c:pt>
                <c:pt idx="2">
                  <c:v>0.109</c:v>
                </c:pt>
                <c:pt idx="3">
                  <c:v>0.13600000000000001</c:v>
                </c:pt>
                <c:pt idx="4">
                  <c:v>0.14199999999999999</c:v>
                </c:pt>
                <c:pt idx="5">
                  <c:v>0.14199999999999999</c:v>
                </c:pt>
                <c:pt idx="6">
                  <c:v>0.35199999999999998</c:v>
                </c:pt>
                <c:pt idx="7">
                  <c:v>0.36299999999999999</c:v>
                </c:pt>
              </c:numCache>
            </c:numRef>
          </c:val>
          <c:extLst>
            <c:ext xmlns:c16="http://schemas.microsoft.com/office/drawing/2014/chart" uri="{C3380CC4-5D6E-409C-BE32-E72D297353CC}">
              <c16:uniqueId val="{00000000-9C5A-4874-8744-54B57A176C3D}"/>
            </c:ext>
          </c:extLst>
        </c:ser>
        <c:dLbls>
          <c:dLblPos val="outEnd"/>
          <c:showLegendKey val="0"/>
          <c:showVal val="1"/>
          <c:showCatName val="0"/>
          <c:showSerName val="0"/>
          <c:showPercent val="0"/>
          <c:showBubbleSize val="0"/>
        </c:dLbls>
        <c:gapWidth val="182"/>
        <c:axId val="593400016"/>
        <c:axId val="593406248"/>
      </c:barChart>
      <c:catAx>
        <c:axId val="593400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406248"/>
        <c:crosses val="autoZero"/>
        <c:auto val="1"/>
        <c:lblAlgn val="ctr"/>
        <c:lblOffset val="100"/>
        <c:noMultiLvlLbl val="0"/>
      </c:catAx>
      <c:valAx>
        <c:axId val="5934062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400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Open-ended</a:t>
            </a:r>
            <a:r>
              <a:rPr lang="en-GB" baseline="0"/>
              <a:t> Question Themes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Consultation</c:v>
                </c:pt>
                <c:pt idx="1">
                  <c:v>General Praise</c:v>
                </c:pt>
                <c:pt idx="2">
                  <c:v>Business</c:v>
                </c:pt>
                <c:pt idx="3">
                  <c:v>Housing</c:v>
                </c:pt>
                <c:pt idx="4">
                  <c:v>Council Tax</c:v>
                </c:pt>
                <c:pt idx="5">
                  <c:v>Activities for Young People</c:v>
                </c:pt>
                <c:pt idx="6">
                  <c:v>Cost of Living</c:v>
                </c:pt>
                <c:pt idx="7">
                  <c:v>Waste</c:v>
                </c:pt>
                <c:pt idx="8">
                  <c:v>Budget</c:v>
                </c:pt>
                <c:pt idx="9">
                  <c:v>Sport and Leisure</c:v>
                </c:pt>
                <c:pt idx="10">
                  <c:v>Environment</c:v>
                </c:pt>
                <c:pt idx="11">
                  <c:v>Investment</c:v>
                </c:pt>
                <c:pt idx="12">
                  <c:v>Transport and Highways</c:v>
                </c:pt>
                <c:pt idx="13">
                  <c:v>Parks and Open Spaces</c:v>
                </c:pt>
              </c:strCache>
            </c:strRef>
          </c:cat>
          <c:val>
            <c:numRef>
              <c:f>Sheet1!$B$2:$B$15</c:f>
              <c:numCache>
                <c:formatCode>0.00%</c:formatCode>
                <c:ptCount val="14"/>
                <c:pt idx="0">
                  <c:v>1.7999999999999999E-2</c:v>
                </c:pt>
                <c:pt idx="1">
                  <c:v>1.7999999999999999E-2</c:v>
                </c:pt>
                <c:pt idx="2">
                  <c:v>4.5999999999999999E-2</c:v>
                </c:pt>
                <c:pt idx="3">
                  <c:v>4.5999999999999999E-2</c:v>
                </c:pt>
                <c:pt idx="4">
                  <c:v>4.5999999999999999E-2</c:v>
                </c:pt>
                <c:pt idx="5">
                  <c:v>5.5E-2</c:v>
                </c:pt>
                <c:pt idx="6">
                  <c:v>5.5E-2</c:v>
                </c:pt>
                <c:pt idx="7">
                  <c:v>5.5E-2</c:v>
                </c:pt>
                <c:pt idx="8">
                  <c:v>5.5E-2</c:v>
                </c:pt>
                <c:pt idx="9">
                  <c:v>5.5E-2</c:v>
                </c:pt>
                <c:pt idx="10">
                  <c:v>7.2999999999999995E-2</c:v>
                </c:pt>
                <c:pt idx="11">
                  <c:v>0.10100000000000001</c:v>
                </c:pt>
                <c:pt idx="12">
                  <c:v>0.156</c:v>
                </c:pt>
                <c:pt idx="13">
                  <c:v>0.16500000000000001</c:v>
                </c:pt>
              </c:numCache>
            </c:numRef>
          </c:val>
          <c:extLst>
            <c:ext xmlns:c16="http://schemas.microsoft.com/office/drawing/2014/chart" uri="{C3380CC4-5D6E-409C-BE32-E72D297353CC}">
              <c16:uniqueId val="{00000000-1B29-482A-8A1E-3C688DF3D5ED}"/>
            </c:ext>
          </c:extLst>
        </c:ser>
        <c:dLbls>
          <c:dLblPos val="outEnd"/>
          <c:showLegendKey val="0"/>
          <c:showVal val="1"/>
          <c:showCatName val="0"/>
          <c:showSerName val="0"/>
          <c:showPercent val="0"/>
          <c:showBubbleSize val="0"/>
        </c:dLbls>
        <c:gapWidth val="182"/>
        <c:axId val="1022492152"/>
        <c:axId val="1022496416"/>
      </c:barChart>
      <c:catAx>
        <c:axId val="1022492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022496416"/>
        <c:crosses val="autoZero"/>
        <c:auto val="1"/>
        <c:lblAlgn val="ctr"/>
        <c:lblOffset val="100"/>
        <c:noMultiLvlLbl val="0"/>
      </c:catAx>
      <c:valAx>
        <c:axId val="1022496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492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8</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Tsang</dc:creator>
  <cp:keywords/>
  <dc:description/>
  <cp:lastModifiedBy>Louise Mattinson</cp:lastModifiedBy>
  <cp:revision>49</cp:revision>
  <dcterms:created xsi:type="dcterms:W3CDTF">2022-02-07T15:49:00Z</dcterms:created>
  <dcterms:modified xsi:type="dcterms:W3CDTF">2022-02-15T11:52:00Z</dcterms:modified>
</cp:coreProperties>
</file>